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CAE" w:rsidR="008155B6" w:rsidP="00A91052" w:rsidRDefault="00FF4FC5" w14:paraId="4B294699" w14:noSpellErr="1" w14:textId="4F0E7BBB">
      <w:pPr>
        <w:tabs>
          <w:tab w:val="right" w:pos="9000"/>
        </w:tabs>
        <w:rPr>
          <w:b w:val="1"/>
          <w:bCs w:val="1"/>
          <w:color w:val="000000" w:themeColor="text1"/>
          <w:sz w:val="28"/>
          <w:szCs w:val="28"/>
        </w:rPr>
      </w:pPr>
      <w:r w:rsidRPr="636DA947">
        <w:rPr>
          <w:rStyle w:val="FootnoteReference"/>
          <w:b w:val="1"/>
          <w:bCs w:val="1"/>
          <w:i w:val="1"/>
          <w:iCs w:val="1"/>
          <w:color w:val="FF0000"/>
          <w:sz w:val="28"/>
          <w:szCs w:val="28"/>
        </w:rPr>
        <w:footnoteReference w:id="17580"/>
      </w:r>
      <w:r w:rsidRPr="636DA947">
        <w:rPr>
          <w:rStyle w:val="FootnoteReference"/>
          <w:b w:val="1"/>
          <w:bCs w:val="1"/>
          <w:i w:val="1"/>
          <w:iCs w:val="1"/>
          <w:color w:val="FF0000"/>
          <w:sz w:val="28"/>
          <w:szCs w:val="28"/>
        </w:rPr>
        <w:footnoteReference w:id="16195"/>
      </w:r>
      <w:r w:rsidRPr="636DA947" w:rsidR="00FF4FC5">
        <w:rPr>
          <w:b w:val="1"/>
          <w:bCs w:val="1"/>
          <w:i w:val="1"/>
          <w:iCs w:val="1"/>
          <w:color w:val="FF0000"/>
          <w:sz w:val="28"/>
          <w:szCs w:val="28"/>
        </w:rPr>
        <w:t>[For SPG Use]</w:t>
      </w:r>
      <w:r>
        <w:tab/>
      </w:r>
      <w:r w:rsidRPr="636DA947" w:rsidR="008155B6">
        <w:rPr>
          <w:b w:val="1"/>
          <w:bCs w:val="1"/>
          <w:color w:val="000000" w:themeColor="text1" w:themeTint="FF" w:themeShade="FF"/>
          <w:sz w:val="28"/>
          <w:szCs w:val="28"/>
        </w:rPr>
        <w:t>Paper X</w:t>
      </w:r>
    </w:p>
    <w:p w:rsidRPr="002C2CAE" w:rsidR="008155B6" w:rsidP="00760B11" w:rsidRDefault="00DC1E40" w14:paraId="09864A7B" w14:textId="2B2CE995">
      <w:pPr>
        <w:pStyle w:val="Heading1"/>
        <w:jc w:val="center"/>
        <w:rPr>
          <w:color w:val="000000" w:themeColor="text1"/>
          <w:szCs w:val="28"/>
        </w:rPr>
      </w:pPr>
      <w:r>
        <w:t>LU Students’ Union: President’s Report: October 2025</w:t>
      </w:r>
    </w:p>
    <w:p w:rsidR="00126D8C" w:rsidP="00126D8C" w:rsidRDefault="00126D8C" w14:paraId="60569254" w14:textId="55EB8C69">
      <w:pPr>
        <w:pStyle w:val="Heading2"/>
      </w:pPr>
      <w:bookmarkStart w:name="_Hlk138408334" w:id="0"/>
      <w:r>
        <w:t>1.</w:t>
      </w:r>
      <w:r>
        <w:tab/>
      </w:r>
      <w:r w:rsidRPr="002C74A7">
        <w:t>Executive Summary</w:t>
      </w:r>
    </w:p>
    <w:p w:rsidR="00126D8C" w:rsidP="00DC725B" w:rsidRDefault="00126D8C" w14:paraId="7438994C" w14:textId="271FA730">
      <w:pPr>
        <w:pStyle w:val="ListParagraph"/>
        <w:numPr>
          <w:ilvl w:val="1"/>
          <w:numId w:val="13"/>
        </w:numPr>
      </w:pPr>
      <w:r>
        <w:t>This paper aims to update Council on the activities of the Students’ Union and its four new officers over the summer period, and a scope for the year ahead.</w:t>
      </w:r>
      <w:r w:rsidR="00C77A7A">
        <w:br/>
      </w:r>
    </w:p>
    <w:p w:rsidRPr="00C42DF1" w:rsidR="00126D8C" w:rsidP="00DC725B" w:rsidRDefault="00126D8C" w14:paraId="3A5DF152" w14:textId="38FB98BF">
      <w:pPr>
        <w:pStyle w:val="ListParagraph"/>
        <w:numPr>
          <w:ilvl w:val="1"/>
          <w:numId w:val="13"/>
        </w:numPr>
      </w:pPr>
      <w:r>
        <w:t>The paper will also discuss the extent to which student poverty now pervades everyday student life in 2025. The last thorough update to Council on the student cost-of-living crisis was given nearly two years ago, poverty is now the norm, and the situation continues to worsen without intervention.</w:t>
      </w:r>
      <w:r w:rsidR="00C77A7A">
        <w:br/>
      </w:r>
    </w:p>
    <w:p w:rsidRPr="002C74A7" w:rsidR="00126D8C" w:rsidP="00573555" w:rsidRDefault="00573555" w14:paraId="40FFA23E" w14:textId="3E2E483E">
      <w:pPr>
        <w:pStyle w:val="Heading2"/>
      </w:pPr>
      <w:r>
        <w:t>2.</w:t>
      </w:r>
      <w:r>
        <w:tab/>
      </w:r>
      <w:r w:rsidR="00126D8C">
        <w:t>Union Update</w:t>
      </w:r>
    </w:p>
    <w:p w:rsidRPr="00C77A7A" w:rsidR="00C77A7A" w:rsidP="00C77A7A" w:rsidRDefault="00C77A7A" w14:paraId="0E3D510F" w14:textId="77777777">
      <w:pPr>
        <w:pStyle w:val="ListParagraph"/>
        <w:numPr>
          <w:ilvl w:val="0"/>
          <w:numId w:val="13"/>
        </w:numPr>
        <w:rPr>
          <w:vanish/>
        </w:rPr>
      </w:pPr>
    </w:p>
    <w:p w:rsidR="00126D8C" w:rsidP="00C77A7A" w:rsidRDefault="00126D8C" w14:paraId="29FFFAFE" w14:textId="4AF0AD83">
      <w:pPr>
        <w:pStyle w:val="ListParagraph"/>
        <w:numPr>
          <w:ilvl w:val="1"/>
          <w:numId w:val="13"/>
        </w:numPr>
      </w:pPr>
      <w:r>
        <w:t>The Students’ Union officer team for the 2025/26 academic year are all new in their roles, after two years of mostly the same faces. The new officers, our roles, and our pronouns are as follows:</w:t>
      </w:r>
    </w:p>
    <w:p w:rsidR="00126D8C" w:rsidP="00126D8C" w:rsidRDefault="00126D8C" w14:paraId="5C4CAD46" w14:textId="77777777">
      <w:pPr>
        <w:pStyle w:val="ListParagraph"/>
        <w:numPr>
          <w:ilvl w:val="0"/>
          <w:numId w:val="10"/>
        </w:numPr>
        <w:spacing w:after="160" w:line="278" w:lineRule="auto"/>
        <w:contextualSpacing/>
      </w:pPr>
      <w:r>
        <w:t>President – Rory O’Ceallaigh (he/him)</w:t>
      </w:r>
    </w:p>
    <w:p w:rsidR="00126D8C" w:rsidP="00126D8C" w:rsidRDefault="00126D8C" w14:paraId="04A04FD1" w14:textId="77777777">
      <w:pPr>
        <w:pStyle w:val="ListParagraph"/>
        <w:numPr>
          <w:ilvl w:val="0"/>
          <w:numId w:val="10"/>
        </w:numPr>
        <w:spacing w:after="160" w:line="278" w:lineRule="auto"/>
        <w:contextualSpacing/>
      </w:pPr>
      <w:r>
        <w:t>Wellbeing Officer – Leah Buttery (she/they)</w:t>
      </w:r>
    </w:p>
    <w:p w:rsidR="00126D8C" w:rsidP="00126D8C" w:rsidRDefault="00126D8C" w14:paraId="1522C24C" w14:textId="77777777">
      <w:pPr>
        <w:pStyle w:val="ListParagraph"/>
        <w:numPr>
          <w:ilvl w:val="0"/>
          <w:numId w:val="10"/>
        </w:numPr>
        <w:spacing w:after="160" w:line="278" w:lineRule="auto"/>
        <w:contextualSpacing/>
      </w:pPr>
      <w:r>
        <w:t>Activities Officer – Emily Houston-Woods (she/her)</w:t>
      </w:r>
    </w:p>
    <w:p w:rsidR="00126D8C" w:rsidP="00126D8C" w:rsidRDefault="00126D8C" w14:paraId="71848804" w14:textId="2D61648B">
      <w:pPr>
        <w:pStyle w:val="ListParagraph"/>
        <w:numPr>
          <w:ilvl w:val="0"/>
          <w:numId w:val="10"/>
        </w:numPr>
        <w:spacing w:after="160" w:line="278" w:lineRule="auto"/>
        <w:contextualSpacing/>
      </w:pPr>
      <w:r>
        <w:t>Education Officer – Liz Gillett (she/they)</w:t>
      </w:r>
      <w:r w:rsidR="00DC1E40">
        <w:br/>
      </w:r>
    </w:p>
    <w:p w:rsidR="00126D8C" w:rsidP="00447B44" w:rsidRDefault="00126D8C" w14:paraId="6429A873" w14:textId="79C3143D">
      <w:pPr>
        <w:pStyle w:val="ListParagraph"/>
        <w:numPr>
          <w:ilvl w:val="1"/>
          <w:numId w:val="13"/>
        </w:numPr>
      </w:pPr>
      <w:r>
        <w:t xml:space="preserve">The President has been considering the cost-of-living pressures facing students in their day to day lives; the term “cost-of-living” has been generally referred to as a crisis, but for students it is now the norm. Their focus recently has been on ensuring the new parking policy and automatic number plate recognition (ANPR) cameras are implemented in a way that doesn’t pass on costs to student volunteers who are delivering the variety of activity that keeps our campus vibrant and exciting. They are also keen to ensure that students are informed of what is happening around them through the year, </w:t>
      </w:r>
      <w:proofErr w:type="gramStart"/>
      <w:r>
        <w:t>from LU Future and the Curriculum Transformation Programme (CTP),</w:t>
      </w:r>
      <w:proofErr w:type="gramEnd"/>
      <w:r>
        <w:t xml:space="preserve"> to the Renters Rights Bill and their Consumer Rights Protections as a student paying for their education, especially in the event of strike action.</w:t>
      </w:r>
      <w:r>
        <w:br/>
      </w:r>
    </w:p>
    <w:p w:rsidR="00126D8C" w:rsidP="00447B44" w:rsidRDefault="00126D8C" w14:paraId="2D30385E" w14:textId="6669EDD7">
      <w:pPr>
        <w:pStyle w:val="ListParagraph"/>
        <w:numPr>
          <w:ilvl w:val="1"/>
          <w:numId w:val="13"/>
        </w:numPr>
      </w:pPr>
      <w:r w:rsidRPr="00EC3E29">
        <w:t xml:space="preserve">The Wellbeing Officer has been focusing on identifying and breaking down the different barriers to accessing mental health support. Addressing the taboos surrounding mental health and targeting intervention towards underrepresented groups. They hope to continue working with the Student Wellbeing Services to gather authentic feedback from service users and non-service users alike </w:t>
      </w:r>
      <w:proofErr w:type="gramStart"/>
      <w:r w:rsidRPr="00EC3E29">
        <w:t>in order to</w:t>
      </w:r>
      <w:proofErr w:type="gramEnd"/>
      <w:r w:rsidRPr="00EC3E29">
        <w:t xml:space="preserve"> properly shape the service around student voice. They also intend to work very closely this year with LUSU’s Liberation and Campaign’s Officers (LCOs), helping them to provide a sense of belonging and community across campus. They plan on working with the Women’s+ LCO on tackling gender-based violence, the LGBTQ+ LCO on keeping our campus trans inclusive, and our BAME Committee and International forum on battle xenophobia and racism, particularly in the face of the rising far-right.</w:t>
      </w:r>
      <w:r>
        <w:br/>
      </w:r>
    </w:p>
    <w:p w:rsidR="00126D8C" w:rsidP="00447B44" w:rsidRDefault="00126D8C" w14:paraId="2DEF39E7" w14:textId="09882311">
      <w:pPr>
        <w:pStyle w:val="ListParagraph"/>
        <w:numPr>
          <w:ilvl w:val="1"/>
          <w:numId w:val="13"/>
        </w:numPr>
      </w:pPr>
      <w:r w:rsidRPr="005B748B">
        <w:lastRenderedPageBreak/>
        <w:t xml:space="preserve">The </w:t>
      </w:r>
      <w:r>
        <w:t>A</w:t>
      </w:r>
      <w:r w:rsidRPr="005B748B">
        <w:t xml:space="preserve">ctivities </w:t>
      </w:r>
      <w:r>
        <w:t>O</w:t>
      </w:r>
      <w:r w:rsidRPr="005B748B">
        <w:t>fficer has been working on securing Wednesday afternoons for all BUCS athletes and ensuring mass participation in sport is accessible financially. They</w:t>
      </w:r>
      <w:r>
        <w:t xml:space="preserve"> a</w:t>
      </w:r>
      <w:r w:rsidRPr="005B748B">
        <w:t xml:space="preserve">re also passionate about ensuring that our trans+ athletes have the support they need to continue participating in sport following the </w:t>
      </w:r>
      <w:r>
        <w:t>Equality and Human Rights Commission (</w:t>
      </w:r>
      <w:r w:rsidRPr="005B748B">
        <w:t>EHRC</w:t>
      </w:r>
      <w:r>
        <w:t>)</w:t>
      </w:r>
      <w:r w:rsidRPr="005B748B">
        <w:t xml:space="preserve"> consultation. Recently, they have expanded the student leader training to include inclusive practice for neurodivergent and trans+ </w:t>
      </w:r>
      <w:proofErr w:type="gramStart"/>
      <w:r w:rsidRPr="005B748B">
        <w:t>students, and</w:t>
      </w:r>
      <w:proofErr w:type="gramEnd"/>
      <w:r w:rsidRPr="005B748B">
        <w:t xml:space="preserve"> has been liaising with the </w:t>
      </w:r>
      <w:r>
        <w:t>S</w:t>
      </w:r>
      <w:r w:rsidRPr="005B748B">
        <w:t xml:space="preserve">ports </w:t>
      </w:r>
      <w:r>
        <w:t>C</w:t>
      </w:r>
      <w:r w:rsidRPr="005B748B">
        <w:t xml:space="preserve">entre on promoting the benefits of sport on wellbeing. Helping student leaders to develop their skills and translating those to their future careers is at the </w:t>
      </w:r>
      <w:r>
        <w:t>core</w:t>
      </w:r>
      <w:r w:rsidRPr="005B748B">
        <w:t xml:space="preserve"> of their work this year. </w:t>
      </w:r>
      <w:r>
        <w:br/>
      </w:r>
    </w:p>
    <w:p w:rsidR="00126D8C" w:rsidP="00447B44" w:rsidRDefault="00126D8C" w14:paraId="4D8D1EE5" w14:textId="54F00105">
      <w:pPr>
        <w:pStyle w:val="ListParagraph"/>
        <w:numPr>
          <w:ilvl w:val="1"/>
          <w:numId w:val="13"/>
        </w:numPr>
      </w:pPr>
      <w:r>
        <w:t xml:space="preserve">The Education Officer has been championing self-certification for extensions, seeking a policy shift towards standardised 3-day extensions requiring no bureaucracy for when life gets in the way of a students’ study. This approach aims to mirror what is already a standard allowance in the </w:t>
      </w:r>
      <w:proofErr w:type="gramStart"/>
      <w:r>
        <w:t>workforce, and</w:t>
      </w:r>
      <w:proofErr w:type="gramEnd"/>
      <w:r>
        <w:t xml:space="preserve"> will improve student wellbeing knowing that they do not need to work through illness to gain their degree. They have also been working to secure and support PGR students who are losing their dedicated spaces. The Storey in the city centre has closed its PGR space, and FHASS PGR students have been moved from Bowland Main to Bowland Annex, leaving ~300 PGR students to hot desk ~50 seats.</w:t>
      </w:r>
      <w:r>
        <w:br/>
      </w:r>
    </w:p>
    <w:p w:rsidR="003D0764" w:rsidP="00447B44" w:rsidRDefault="00126D8C" w14:paraId="7AAB7388" w14:textId="18A72DD5">
      <w:pPr>
        <w:pStyle w:val="ListParagraph"/>
        <w:numPr>
          <w:ilvl w:val="1"/>
          <w:numId w:val="13"/>
        </w:numPr>
      </w:pPr>
      <w:r>
        <w:t xml:space="preserve">All Officers have also spent the first three months of the job meeting with various university staff teams, engaging in university committees, and planning for the year ahead. The Union </w:t>
      </w:r>
      <w:proofErr w:type="gramStart"/>
      <w:r>
        <w:t>as a whole has</w:t>
      </w:r>
      <w:proofErr w:type="gramEnd"/>
      <w:r>
        <w:t xml:space="preserve"> been preparing for the delivery of Welcome Week, Freshers’ Fairs, and the supporting of our over 400 student volunteers who deliver the bulk of the activity which will welcome over 4,000 new students to the campus, receiving little recognition from the University.</w:t>
      </w:r>
      <w:r w:rsidR="00D16D29">
        <w:br/>
      </w:r>
    </w:p>
    <w:p w:rsidR="00126D8C" w:rsidP="00447B44" w:rsidRDefault="000A070D" w14:paraId="39E71813" w14:textId="422AC009">
      <w:pPr>
        <w:pStyle w:val="ListParagraph"/>
        <w:numPr>
          <w:ilvl w:val="1"/>
          <w:numId w:val="13"/>
        </w:numPr>
      </w:pPr>
      <w:r>
        <w:t>Council will be aware of the</w:t>
      </w:r>
      <w:r w:rsidR="00C65104">
        <w:t xml:space="preserve"> financial</w:t>
      </w:r>
      <w:r>
        <w:t xml:space="preserve"> challenges The Sugarhouse has been facing, Welcome Week will be a critical time for the Union </w:t>
      </w:r>
      <w:r w:rsidR="007D484A">
        <w:t>to monitor cashflow challenges for LUSU Services Ltd.</w:t>
      </w:r>
      <w:r w:rsidR="00126D8C">
        <w:br/>
      </w:r>
    </w:p>
    <w:p w:rsidRPr="00DC1E40" w:rsidR="00126D8C" w:rsidP="00DC1E40" w:rsidRDefault="00573555" w14:paraId="3EA6B5E1" w14:textId="601C543D">
      <w:pPr>
        <w:pStyle w:val="Heading2"/>
      </w:pPr>
      <w:r>
        <w:t>3.</w:t>
      </w:r>
      <w:r>
        <w:tab/>
      </w:r>
      <w:r w:rsidRPr="002C74A7" w:rsidR="00126D8C">
        <w:t>Student Poverty – The Cost of Making University Worthwhile</w:t>
      </w:r>
    </w:p>
    <w:p w:rsidRPr="00F43547" w:rsidR="00F43547" w:rsidP="00F43547" w:rsidRDefault="00F43547" w14:paraId="33D343B3" w14:textId="77777777">
      <w:pPr>
        <w:pStyle w:val="ListParagraph"/>
        <w:numPr>
          <w:ilvl w:val="0"/>
          <w:numId w:val="13"/>
        </w:numPr>
        <w:rPr>
          <w:vanish/>
        </w:rPr>
      </w:pPr>
    </w:p>
    <w:p w:rsidR="00126D8C" w:rsidP="00F43547" w:rsidRDefault="00126D8C" w14:paraId="1C9C43E5" w14:textId="2B032C9D">
      <w:pPr>
        <w:pStyle w:val="ListParagraph"/>
        <w:numPr>
          <w:ilvl w:val="1"/>
          <w:numId w:val="13"/>
        </w:numPr>
      </w:pPr>
      <w:r>
        <w:t xml:space="preserve">There is an image of student life which persists in peoples’ minds, one of carefree attitudes, of drinking, partying, and of irresponsibility; one which is outdated by nearly 15 years. This image lingers in the minds of lecturers, parents, employers, even prospective students themselves, and worryingly perhaps also in the minds of members of University Council. </w:t>
      </w:r>
      <w:proofErr w:type="gramStart"/>
      <w:r>
        <w:t>In reality, a</w:t>
      </w:r>
      <w:proofErr w:type="gramEnd"/>
      <w:r>
        <w:t xml:space="preserve"> student starting University this year faces something starkly different.</w:t>
      </w:r>
      <w:r>
        <w:br/>
      </w:r>
    </w:p>
    <w:p w:rsidR="00126D8C" w:rsidP="00F43547" w:rsidRDefault="00126D8C" w14:paraId="31E562C9" w14:textId="3F598B11">
      <w:pPr>
        <w:pStyle w:val="ListParagraph"/>
        <w:numPr>
          <w:ilvl w:val="1"/>
          <w:numId w:val="13"/>
        </w:numPr>
        <w:rPr/>
      </w:pPr>
      <w:r w:rsidR="00126D8C">
        <w:rPr/>
        <w:t xml:space="preserve">In August this year, the Higher Education Policy Institute (HEPI) published their report </w:t>
      </w:r>
      <w:r w:rsidRPr="636DA947" w:rsidR="00126D8C">
        <w:rPr>
          <w:i w:val="1"/>
          <w:iCs w:val="1"/>
        </w:rPr>
        <w:t>“A Minimum Income Standard for Students 2025”.</w:t>
      </w:r>
      <w:r w:rsidR="00126D8C">
        <w:rPr/>
        <w:t xml:space="preserve"> Their findings showed that, for a minimum socially acceptable standard of living, covering the basics and allowing for full participation in university life – in essence, the student poverty line – a student living outside of London would need £21,126 for their first year of study</w:t>
      </w:r>
      <w:r>
        <w:rPr>
          <w:rStyle w:val="FootnoteReference"/>
        </w:rPr>
        <w:footnoteReference w:id="1"/>
      </w:r>
      <w:r w:rsidR="00126D8C">
        <w:rPr/>
        <w:t xml:space="preserve">, </w:t>
      </w:r>
      <w:r w:rsidR="00126D8C">
        <w:rPr/>
        <w:lastRenderedPageBreak/>
        <w:t xml:space="preserve">that is £2,347 per month for the 9 months they are studying in the year. </w:t>
      </w:r>
      <w:r>
        <w:br/>
      </w:r>
    </w:p>
    <w:p w:rsidR="00126D8C" w:rsidP="00F43547" w:rsidRDefault="00126D8C" w14:paraId="480B9482" w14:textId="24C1F33D">
      <w:pPr>
        <w:pStyle w:val="ListParagraph"/>
        <w:numPr>
          <w:ilvl w:val="1"/>
          <w:numId w:val="13"/>
        </w:numPr>
        <w:rPr/>
      </w:pPr>
      <w:r w:rsidR="00126D8C">
        <w:rPr/>
        <w:t>The average maintenance loan awarded by the Student Loans Company (SLC) in the 2024/25 academic year was £7,678</w:t>
      </w:r>
      <w:r>
        <w:rPr>
          <w:rStyle w:val="FootnoteReference"/>
        </w:rPr>
        <w:footnoteReference w:id="2"/>
      </w:r>
      <w:r w:rsidR="00126D8C">
        <w:rPr/>
        <w:t xml:space="preserve"> – assuming an increase of 3.1%, in line with the maintenance loan increase, we should see students being awarded an average of £7,916 in 2025/26. This sum is clearly a significant shortfall compared to HEPI’s criteria; even the maximum maintenance loan of £10,544 doesn’t achieve half of this amount, and we haven’t even considered those students who don’t qualify for maintenance loan funding from the SLC.</w:t>
      </w:r>
      <w:r>
        <w:br/>
      </w:r>
    </w:p>
    <w:p w:rsidR="00126D8C" w:rsidP="00F43547" w:rsidRDefault="00126D8C" w14:paraId="7F4D10BF" w14:textId="3955674D">
      <w:pPr>
        <w:pStyle w:val="ListParagraph"/>
        <w:numPr>
          <w:ilvl w:val="1"/>
          <w:numId w:val="13"/>
        </w:numPr>
      </w:pPr>
      <w:r>
        <w:t xml:space="preserve">The reality is, of course, students are not living off £2,347 per month, the average monthly spend of a student in the </w:t>
      </w:r>
      <w:proofErr w:type="gramStart"/>
      <w:r>
        <w:t>North West</w:t>
      </w:r>
      <w:proofErr w:type="gramEnd"/>
      <w:r>
        <w:t xml:space="preserve"> of England, including rent, is £1,057</w:t>
      </w:r>
      <w:r w:rsidRPr="00F43547">
        <w:rPr>
          <w:vertAlign w:val="superscript"/>
        </w:rPr>
        <w:t>2</w:t>
      </w:r>
      <w:r>
        <w:t xml:space="preserve">, equal to £9,513 in 9 months of study. This is less than half the amount needed to meet the minimum socially acceptable standard of living, and notably also </w:t>
      </w:r>
      <w:r w:rsidR="000C6191">
        <w:t>more</w:t>
      </w:r>
      <w:r>
        <w:t xml:space="preserve"> than the average maintenance loan. The average student in Lancaster is living in poverty.</w:t>
      </w:r>
      <w:r>
        <w:br/>
      </w:r>
    </w:p>
    <w:p w:rsidR="00126D8C" w:rsidP="00F43547" w:rsidRDefault="00126D8C" w14:paraId="4A886134" w14:textId="2E5D77ED">
      <w:pPr>
        <w:pStyle w:val="ListParagraph"/>
        <w:numPr>
          <w:ilvl w:val="1"/>
          <w:numId w:val="13"/>
        </w:numPr>
        <w:rPr/>
      </w:pPr>
      <w:r w:rsidR="00126D8C">
        <w:rPr/>
        <w:t>To make ends meet, more than two thirds of students will now be expecting to work during their studies, up from just under a half only three years ago, and nearly double that of 2015</w:t>
      </w:r>
      <w:r>
        <w:rPr>
          <w:rStyle w:val="FootnoteReference"/>
        </w:rPr>
        <w:footnoteReference w:id="3"/>
      </w:r>
      <w:r w:rsidR="00126D8C">
        <w:rPr/>
        <w:t>. We as a University are evidently aware of this shift in student activity, as we have changed our guidance on term time employment from recommending no more than 10-15 hours of part-time work per week alongside study, to actively encouraging students to find work with no mention of hours</w:t>
      </w:r>
      <w:r>
        <w:rPr>
          <w:rStyle w:val="FootnoteReference"/>
        </w:rPr>
        <w:footnoteReference w:id="4"/>
      </w:r>
      <w:r w:rsidR="00126D8C">
        <w:rPr/>
        <w:t>; this is despite most part-time work gaining no academic credit for the student, and those students who do work reporting that it has a negative impact on their capacity to study.</w:t>
      </w:r>
      <w:r>
        <w:br/>
      </w:r>
    </w:p>
    <w:p w:rsidR="00126D8C" w:rsidP="00F43547" w:rsidRDefault="00126D8C" w14:paraId="6D05DE6E" w14:textId="0FBE89B6">
      <w:pPr>
        <w:pStyle w:val="ListParagraph"/>
        <w:numPr>
          <w:ilvl w:val="1"/>
          <w:numId w:val="13"/>
        </w:numPr>
      </w:pPr>
      <w:r>
        <w:t>Nationally, 2% of students have reported relying on sex work to earn money, and we have no reason to think this wouldn’t also be the case in Lancaster.</w:t>
      </w:r>
      <w:r>
        <w:br/>
      </w:r>
    </w:p>
    <w:p w:rsidR="00126D8C" w:rsidP="00F43547" w:rsidRDefault="00126D8C" w14:paraId="15331A4C" w14:textId="72FA51D8">
      <w:pPr>
        <w:pStyle w:val="ListParagraph"/>
        <w:numPr>
          <w:ilvl w:val="1"/>
          <w:numId w:val="13"/>
        </w:numPr>
        <w:rPr/>
      </w:pPr>
      <w:r w:rsidR="00126D8C">
        <w:rPr/>
        <w:t xml:space="preserve">Even with the dramatic trend towards part-time employment alongside study, students still aren’t meeting the threshold to sit above the poverty line; we need to look at what is being neglected where ends don’t meet. In the </w:t>
      </w:r>
      <w:r w:rsidRPr="636DA947" w:rsidR="00126D8C">
        <w:rPr>
          <w:i w:val="1"/>
          <w:iCs w:val="1"/>
        </w:rPr>
        <w:t>NatWest Student Living Index 2025</w:t>
      </w:r>
      <w:r w:rsidR="00126D8C">
        <w:rPr/>
        <w:t xml:space="preserve"> survey, nearly a third of students reported reducing the number of meals they have in a day, a quarter of students have reduced the amount of heating they use, and half of students reduced the amount they go on nights out</w:t>
      </w:r>
      <w:r>
        <w:rPr>
          <w:rStyle w:val="FootnoteReference"/>
        </w:rPr>
        <w:footnoteReference w:id="5"/>
      </w:r>
      <w:r w:rsidR="00126D8C">
        <w:rPr/>
        <w:t>.</w:t>
      </w:r>
      <w:r>
        <w:br/>
      </w:r>
    </w:p>
    <w:p w:rsidR="00126D8C" w:rsidP="00F43547" w:rsidRDefault="00126D8C" w14:paraId="6484A4A8" w14:textId="04AB1C9F">
      <w:pPr>
        <w:pStyle w:val="ListParagraph"/>
        <w:numPr>
          <w:ilvl w:val="1"/>
          <w:numId w:val="13"/>
        </w:numPr>
      </w:pPr>
      <w:r>
        <w:t xml:space="preserve">Last year, the Students’ Union had applications for over £18,000 worth of financial support to access participation in sport at the University, we only had capacity to honour £2,000 of these applications. Further to this, we facilitated thousands of free hot meals to students with our weekly Supper Club, and we operated a student foodbank in The Pantry. Supper Club, The Pantry, and the Sports Access Fund have </w:t>
      </w:r>
      <w:r>
        <w:lastRenderedPageBreak/>
        <w:t>all had to be discontinued this year due to our own funding position. Similar hardship funding pots offered by the University are also being quietly reduced or removed at a time when students most need them.</w:t>
      </w:r>
      <w:r>
        <w:br/>
      </w:r>
    </w:p>
    <w:p w:rsidR="00126D8C" w:rsidP="00F43547" w:rsidRDefault="00126D8C" w14:paraId="4FADB312" w14:textId="0AD07F35">
      <w:pPr>
        <w:pStyle w:val="ListParagraph"/>
        <w:numPr>
          <w:ilvl w:val="1"/>
          <w:numId w:val="13"/>
        </w:numPr>
        <w:rPr/>
      </w:pPr>
      <w:r w:rsidR="00126D8C">
        <w:rPr/>
        <w:t>And so, not only are our students cold, hungry, and desperately poor, but they are missing out on key social aspects of their university experience which has been promised to them by their parents, peers, lecturers, and this Council through the perpetuation of an outdated stereotype. Student poverty leads to student loneliness, poor academic outcomes, mental health crises with increased strain on our Student Wellbeing Service, student deaths by suicide</w:t>
      </w:r>
      <w:r>
        <w:rPr>
          <w:rStyle w:val="FootnoteReference"/>
        </w:rPr>
        <w:footnoteReference w:id="6"/>
      </w:r>
      <w:r w:rsidR="00126D8C">
        <w:rPr/>
        <w:t xml:space="preserve">. </w:t>
      </w:r>
      <w:r>
        <w:br/>
      </w:r>
    </w:p>
    <w:p w:rsidR="00126D8C" w:rsidP="00F43547" w:rsidRDefault="00126D8C" w14:paraId="55BBA4E9" w14:textId="39FB8B93">
      <w:pPr>
        <w:pStyle w:val="ListParagraph"/>
        <w:numPr>
          <w:ilvl w:val="1"/>
          <w:numId w:val="13"/>
        </w:numPr>
      </w:pPr>
      <w:r>
        <w:t>In 2025, 29% of students reported having considered leaving their studies. Of those, 28% cited mental/emotional health, 11% financial difficulties, 6% difficulty balancing study and other commitments, and 5% feeling disconnected from other students</w:t>
      </w:r>
      <w:r w:rsidRPr="00F43547">
        <w:rPr>
          <w:vertAlign w:val="superscript"/>
        </w:rPr>
        <w:t>3</w:t>
      </w:r>
      <w:r>
        <w:t xml:space="preserve"> – as has been discussed, these are all intrinsically linked to student poverty.</w:t>
      </w:r>
      <w:r>
        <w:br/>
      </w:r>
    </w:p>
    <w:p w:rsidR="00126D8C" w:rsidP="00F43547" w:rsidRDefault="00126D8C" w14:paraId="1AB263A7" w14:textId="7B79B53F">
      <w:pPr>
        <w:pStyle w:val="ListParagraph"/>
        <w:numPr>
          <w:ilvl w:val="1"/>
          <w:numId w:val="13"/>
        </w:numPr>
      </w:pPr>
      <w:r>
        <w:t xml:space="preserve">There are numerous compounding costs pulling students below the poverty line, but by far the highest outgoing for a student is the cost of rent, and such this paper will focus on that as an area we can make a difference. On the </w:t>
      </w:r>
      <w:proofErr w:type="spellStart"/>
      <w:r>
        <w:t>Bailrigg</w:t>
      </w:r>
      <w:proofErr w:type="spellEnd"/>
      <w:r>
        <w:t xml:space="preserve"> campus, </w:t>
      </w:r>
      <w:proofErr w:type="gramStart"/>
      <w:r>
        <w:t>the majority of</w:t>
      </w:r>
      <w:proofErr w:type="gramEnd"/>
      <w:r>
        <w:t xml:space="preserve"> our most basic accommodation for the 2025/26 academic year is priced at £142.52 for a 40-week contract, equal to £5,700.80 for the year; this will leave a student on the average maintenance loan with only around £2,200 for everything else the rest of their year. A student on the minimum maintenance loan will be nearly £1,000 short.</w:t>
      </w:r>
      <w:r w:rsidR="00F43547">
        <w:br/>
      </w:r>
    </w:p>
    <w:tbl>
      <w:tblPr>
        <w:tblStyle w:val="TableGrid"/>
        <w:tblW w:w="0" w:type="auto"/>
        <w:jc w:val="center"/>
        <w:tblLook w:val="04A0" w:firstRow="1" w:lastRow="0" w:firstColumn="1" w:lastColumn="0" w:noHBand="0" w:noVBand="1"/>
      </w:tblPr>
      <w:tblGrid>
        <w:gridCol w:w="601"/>
        <w:gridCol w:w="2807"/>
        <w:gridCol w:w="2024"/>
        <w:gridCol w:w="1924"/>
        <w:gridCol w:w="1349"/>
      </w:tblGrid>
      <w:tr w:rsidRPr="0019182A" w:rsidR="00126D8C" w:rsidTr="00DC1E40" w14:paraId="1AA24372" w14:textId="77777777">
        <w:trPr>
          <w:trHeight w:val="340"/>
          <w:jc w:val="center"/>
        </w:trPr>
        <w:tc>
          <w:tcPr>
            <w:tcW w:w="601" w:type="dxa"/>
            <w:shd w:val="clear" w:color="auto" w:fill="BFBFBF" w:themeFill="background1" w:themeFillShade="BF"/>
          </w:tcPr>
          <w:p w:rsidR="00126D8C" w:rsidP="00BD2CE2" w:rsidRDefault="00126D8C" w14:paraId="48A5AB73" w14:textId="77777777">
            <w:pPr>
              <w:contextualSpacing/>
              <w:jc w:val="center"/>
              <w:rPr>
                <w:b/>
                <w:bCs/>
              </w:rPr>
            </w:pPr>
            <w:r>
              <w:rPr>
                <w:b/>
                <w:bCs/>
              </w:rPr>
              <w:t>#</w:t>
            </w:r>
          </w:p>
        </w:tc>
        <w:tc>
          <w:tcPr>
            <w:tcW w:w="2807" w:type="dxa"/>
            <w:shd w:val="clear" w:color="auto" w:fill="BFBFBF" w:themeFill="background1" w:themeFillShade="BF"/>
            <w:noWrap/>
            <w:hideMark/>
          </w:tcPr>
          <w:p w:rsidRPr="0019182A" w:rsidR="00126D8C" w:rsidP="00BD2CE2" w:rsidRDefault="00126D8C" w14:paraId="16AF33F2" w14:textId="77777777">
            <w:pPr>
              <w:contextualSpacing/>
              <w:jc w:val="center"/>
              <w:rPr>
                <w:b/>
                <w:bCs/>
              </w:rPr>
            </w:pPr>
            <w:r>
              <w:rPr>
                <w:b/>
                <w:bCs/>
              </w:rPr>
              <w:t xml:space="preserve">Comparator </w:t>
            </w:r>
            <w:r w:rsidRPr="0019182A">
              <w:rPr>
                <w:b/>
                <w:bCs/>
              </w:rPr>
              <w:t>Uni</w:t>
            </w:r>
            <w:r>
              <w:rPr>
                <w:b/>
                <w:bCs/>
              </w:rPr>
              <w:t>versity</w:t>
            </w:r>
          </w:p>
        </w:tc>
        <w:tc>
          <w:tcPr>
            <w:tcW w:w="2024" w:type="dxa"/>
            <w:shd w:val="clear" w:color="auto" w:fill="BFBFBF" w:themeFill="background1" w:themeFillShade="BF"/>
            <w:noWrap/>
            <w:hideMark/>
          </w:tcPr>
          <w:p w:rsidRPr="0019182A" w:rsidR="00126D8C" w:rsidP="00BD2CE2" w:rsidRDefault="00126D8C" w14:paraId="5A68843C" w14:textId="77777777">
            <w:pPr>
              <w:contextualSpacing/>
              <w:jc w:val="center"/>
              <w:rPr>
                <w:b/>
                <w:bCs/>
              </w:rPr>
            </w:pPr>
            <w:r w:rsidRPr="0019182A">
              <w:rPr>
                <w:b/>
                <w:bCs/>
              </w:rPr>
              <w:t>Weekly Price</w:t>
            </w:r>
            <w:r>
              <w:rPr>
                <w:b/>
                <w:bCs/>
              </w:rPr>
              <w:t xml:space="preserve"> /£</w:t>
            </w:r>
          </w:p>
        </w:tc>
        <w:tc>
          <w:tcPr>
            <w:tcW w:w="1924" w:type="dxa"/>
            <w:shd w:val="clear" w:color="auto" w:fill="BFBFBF" w:themeFill="background1" w:themeFillShade="BF"/>
            <w:noWrap/>
            <w:hideMark/>
          </w:tcPr>
          <w:p w:rsidRPr="0019182A" w:rsidR="00126D8C" w:rsidP="00BD2CE2" w:rsidRDefault="00126D8C" w14:paraId="76A5C9E9" w14:textId="77777777">
            <w:pPr>
              <w:contextualSpacing/>
              <w:jc w:val="center"/>
              <w:rPr>
                <w:b/>
                <w:bCs/>
              </w:rPr>
            </w:pPr>
            <w:r w:rsidRPr="0019182A">
              <w:rPr>
                <w:b/>
                <w:bCs/>
              </w:rPr>
              <w:t>Length</w:t>
            </w:r>
            <w:r>
              <w:rPr>
                <w:b/>
                <w:bCs/>
              </w:rPr>
              <w:t xml:space="preserve"> /weeks</w:t>
            </w:r>
          </w:p>
        </w:tc>
        <w:tc>
          <w:tcPr>
            <w:tcW w:w="1349" w:type="dxa"/>
            <w:shd w:val="clear" w:color="auto" w:fill="BFBFBF" w:themeFill="background1" w:themeFillShade="BF"/>
            <w:noWrap/>
            <w:hideMark/>
          </w:tcPr>
          <w:p w:rsidRPr="0019182A" w:rsidR="00126D8C" w:rsidP="00BD2CE2" w:rsidRDefault="00126D8C" w14:paraId="513FE0DC" w14:textId="77777777">
            <w:pPr>
              <w:contextualSpacing/>
              <w:jc w:val="center"/>
              <w:rPr>
                <w:b/>
                <w:bCs/>
              </w:rPr>
            </w:pPr>
            <w:r w:rsidRPr="0019182A">
              <w:rPr>
                <w:b/>
                <w:bCs/>
              </w:rPr>
              <w:t>Total</w:t>
            </w:r>
            <w:r>
              <w:rPr>
                <w:b/>
                <w:bCs/>
              </w:rPr>
              <w:t xml:space="preserve"> /£</w:t>
            </w:r>
          </w:p>
        </w:tc>
      </w:tr>
      <w:tr w:rsidRPr="0019182A" w:rsidR="00126D8C" w:rsidTr="00DC1E40" w14:paraId="438878BE" w14:textId="77777777">
        <w:trPr>
          <w:trHeight w:val="340"/>
          <w:jc w:val="center"/>
        </w:trPr>
        <w:tc>
          <w:tcPr>
            <w:tcW w:w="601" w:type="dxa"/>
          </w:tcPr>
          <w:p w:rsidRPr="0019182A" w:rsidR="00126D8C" w:rsidP="00BD2CE2" w:rsidRDefault="00126D8C" w14:paraId="5E0238FD" w14:textId="77777777">
            <w:pPr>
              <w:contextualSpacing/>
              <w:jc w:val="center"/>
            </w:pPr>
            <w:r>
              <w:t>1</w:t>
            </w:r>
          </w:p>
        </w:tc>
        <w:tc>
          <w:tcPr>
            <w:tcW w:w="2807" w:type="dxa"/>
            <w:noWrap/>
            <w:hideMark/>
          </w:tcPr>
          <w:p w:rsidRPr="0019182A" w:rsidR="00126D8C" w:rsidP="00BD2CE2" w:rsidRDefault="00126D8C" w14:paraId="1651342E" w14:textId="77777777">
            <w:pPr>
              <w:contextualSpacing/>
            </w:pPr>
            <w:r w:rsidRPr="0019182A">
              <w:t>Aberdeen</w:t>
            </w:r>
          </w:p>
        </w:tc>
        <w:tc>
          <w:tcPr>
            <w:tcW w:w="2024" w:type="dxa"/>
            <w:noWrap/>
            <w:hideMark/>
          </w:tcPr>
          <w:p w:rsidRPr="0019182A" w:rsidR="00126D8C" w:rsidP="00BD2CE2" w:rsidRDefault="00126D8C" w14:paraId="444B7C43" w14:textId="77777777">
            <w:pPr>
              <w:contextualSpacing/>
              <w:jc w:val="center"/>
            </w:pPr>
            <w:r w:rsidRPr="0019182A">
              <w:t>107.00</w:t>
            </w:r>
          </w:p>
        </w:tc>
        <w:tc>
          <w:tcPr>
            <w:tcW w:w="1924" w:type="dxa"/>
            <w:noWrap/>
            <w:hideMark/>
          </w:tcPr>
          <w:p w:rsidRPr="0019182A" w:rsidR="00126D8C" w:rsidP="00BD2CE2" w:rsidRDefault="00126D8C" w14:paraId="1EEAEEFB" w14:textId="77777777">
            <w:pPr>
              <w:contextualSpacing/>
              <w:jc w:val="center"/>
            </w:pPr>
            <w:r w:rsidRPr="0019182A">
              <w:t>40</w:t>
            </w:r>
          </w:p>
        </w:tc>
        <w:tc>
          <w:tcPr>
            <w:tcW w:w="1349" w:type="dxa"/>
            <w:noWrap/>
            <w:hideMark/>
          </w:tcPr>
          <w:p w:rsidRPr="0019182A" w:rsidR="00126D8C" w:rsidP="00BD2CE2" w:rsidRDefault="00126D8C" w14:paraId="35DEE874" w14:textId="77777777">
            <w:pPr>
              <w:contextualSpacing/>
              <w:jc w:val="center"/>
            </w:pPr>
            <w:r w:rsidRPr="0019182A">
              <w:t>4,280.00</w:t>
            </w:r>
          </w:p>
        </w:tc>
      </w:tr>
      <w:tr w:rsidRPr="0019182A" w:rsidR="00126D8C" w:rsidTr="00DC1E40" w14:paraId="26A52476" w14:textId="77777777">
        <w:trPr>
          <w:trHeight w:val="340"/>
          <w:jc w:val="center"/>
        </w:trPr>
        <w:tc>
          <w:tcPr>
            <w:tcW w:w="601" w:type="dxa"/>
          </w:tcPr>
          <w:p w:rsidRPr="0019182A" w:rsidR="00126D8C" w:rsidP="00BD2CE2" w:rsidRDefault="00126D8C" w14:paraId="658CD941" w14:textId="77777777">
            <w:pPr>
              <w:contextualSpacing/>
              <w:jc w:val="center"/>
            </w:pPr>
            <w:r>
              <w:t>2</w:t>
            </w:r>
          </w:p>
        </w:tc>
        <w:tc>
          <w:tcPr>
            <w:tcW w:w="2807" w:type="dxa"/>
            <w:noWrap/>
            <w:hideMark/>
          </w:tcPr>
          <w:p w:rsidRPr="0019182A" w:rsidR="00126D8C" w:rsidP="00BD2CE2" w:rsidRDefault="00126D8C" w14:paraId="67777059" w14:textId="77777777">
            <w:pPr>
              <w:contextualSpacing/>
            </w:pPr>
            <w:r w:rsidRPr="0019182A">
              <w:t>Leicester</w:t>
            </w:r>
          </w:p>
        </w:tc>
        <w:tc>
          <w:tcPr>
            <w:tcW w:w="2024" w:type="dxa"/>
            <w:noWrap/>
            <w:hideMark/>
          </w:tcPr>
          <w:p w:rsidRPr="0019182A" w:rsidR="00126D8C" w:rsidP="00BD2CE2" w:rsidRDefault="00126D8C" w14:paraId="6C1DE916" w14:textId="77777777">
            <w:pPr>
              <w:contextualSpacing/>
              <w:jc w:val="center"/>
            </w:pPr>
            <w:r w:rsidRPr="0019182A">
              <w:t>102.00</w:t>
            </w:r>
          </w:p>
        </w:tc>
        <w:tc>
          <w:tcPr>
            <w:tcW w:w="1924" w:type="dxa"/>
            <w:noWrap/>
            <w:hideMark/>
          </w:tcPr>
          <w:p w:rsidRPr="0019182A" w:rsidR="00126D8C" w:rsidP="00BD2CE2" w:rsidRDefault="00126D8C" w14:paraId="5283DA44" w14:textId="77777777">
            <w:pPr>
              <w:contextualSpacing/>
              <w:jc w:val="center"/>
            </w:pPr>
            <w:r w:rsidRPr="0019182A">
              <w:t>42</w:t>
            </w:r>
          </w:p>
        </w:tc>
        <w:tc>
          <w:tcPr>
            <w:tcW w:w="1349" w:type="dxa"/>
            <w:noWrap/>
            <w:hideMark/>
          </w:tcPr>
          <w:p w:rsidRPr="0019182A" w:rsidR="00126D8C" w:rsidP="00BD2CE2" w:rsidRDefault="00126D8C" w14:paraId="2759447D" w14:textId="77777777">
            <w:pPr>
              <w:contextualSpacing/>
              <w:jc w:val="center"/>
            </w:pPr>
            <w:r w:rsidRPr="0019182A">
              <w:t>4,284.00</w:t>
            </w:r>
          </w:p>
        </w:tc>
      </w:tr>
      <w:tr w:rsidRPr="0019182A" w:rsidR="00126D8C" w:rsidTr="00DC1E40" w14:paraId="3AEEA3A8" w14:textId="77777777">
        <w:trPr>
          <w:trHeight w:val="340"/>
          <w:jc w:val="center"/>
        </w:trPr>
        <w:tc>
          <w:tcPr>
            <w:tcW w:w="601" w:type="dxa"/>
          </w:tcPr>
          <w:p w:rsidRPr="0019182A" w:rsidR="00126D8C" w:rsidP="00BD2CE2" w:rsidRDefault="00126D8C" w14:paraId="28748D6C" w14:textId="77777777">
            <w:pPr>
              <w:contextualSpacing/>
              <w:jc w:val="center"/>
            </w:pPr>
            <w:r>
              <w:t>3</w:t>
            </w:r>
          </w:p>
        </w:tc>
        <w:tc>
          <w:tcPr>
            <w:tcW w:w="2807" w:type="dxa"/>
            <w:noWrap/>
            <w:hideMark/>
          </w:tcPr>
          <w:p w:rsidRPr="0019182A" w:rsidR="00126D8C" w:rsidP="00BD2CE2" w:rsidRDefault="00126D8C" w14:paraId="1A6237D0" w14:textId="77777777">
            <w:pPr>
              <w:contextualSpacing/>
            </w:pPr>
            <w:r w:rsidRPr="0019182A">
              <w:t>Warwick</w:t>
            </w:r>
          </w:p>
        </w:tc>
        <w:tc>
          <w:tcPr>
            <w:tcW w:w="2024" w:type="dxa"/>
            <w:noWrap/>
            <w:hideMark/>
          </w:tcPr>
          <w:p w:rsidRPr="0019182A" w:rsidR="00126D8C" w:rsidP="00BD2CE2" w:rsidRDefault="00126D8C" w14:paraId="4503D64B" w14:textId="77777777">
            <w:pPr>
              <w:contextualSpacing/>
              <w:jc w:val="center"/>
            </w:pPr>
            <w:r w:rsidRPr="0019182A">
              <w:t>125.00</w:t>
            </w:r>
          </w:p>
        </w:tc>
        <w:tc>
          <w:tcPr>
            <w:tcW w:w="1924" w:type="dxa"/>
            <w:noWrap/>
            <w:hideMark/>
          </w:tcPr>
          <w:p w:rsidRPr="0019182A" w:rsidR="00126D8C" w:rsidP="00BD2CE2" w:rsidRDefault="00126D8C" w14:paraId="3F40C9C5" w14:textId="77777777">
            <w:pPr>
              <w:contextualSpacing/>
              <w:jc w:val="center"/>
            </w:pPr>
            <w:r w:rsidRPr="0019182A">
              <w:t>40</w:t>
            </w:r>
          </w:p>
        </w:tc>
        <w:tc>
          <w:tcPr>
            <w:tcW w:w="1349" w:type="dxa"/>
            <w:noWrap/>
            <w:hideMark/>
          </w:tcPr>
          <w:p w:rsidRPr="0019182A" w:rsidR="00126D8C" w:rsidP="00BD2CE2" w:rsidRDefault="00126D8C" w14:paraId="33897231" w14:textId="77777777">
            <w:pPr>
              <w:contextualSpacing/>
              <w:jc w:val="center"/>
            </w:pPr>
            <w:r w:rsidRPr="0019182A">
              <w:t>5,000.00</w:t>
            </w:r>
          </w:p>
        </w:tc>
      </w:tr>
      <w:tr w:rsidRPr="0019182A" w:rsidR="00126D8C" w:rsidTr="00DC1E40" w14:paraId="4975CBCA" w14:textId="77777777">
        <w:trPr>
          <w:trHeight w:val="340"/>
          <w:jc w:val="center"/>
        </w:trPr>
        <w:tc>
          <w:tcPr>
            <w:tcW w:w="601" w:type="dxa"/>
          </w:tcPr>
          <w:p w:rsidRPr="0019182A" w:rsidR="00126D8C" w:rsidP="00BD2CE2" w:rsidRDefault="00126D8C" w14:paraId="70094669" w14:textId="77777777">
            <w:pPr>
              <w:contextualSpacing/>
              <w:jc w:val="center"/>
            </w:pPr>
            <w:r>
              <w:t>4</w:t>
            </w:r>
          </w:p>
        </w:tc>
        <w:tc>
          <w:tcPr>
            <w:tcW w:w="2807" w:type="dxa"/>
            <w:noWrap/>
            <w:hideMark/>
          </w:tcPr>
          <w:p w:rsidRPr="0019182A" w:rsidR="00126D8C" w:rsidP="00BD2CE2" w:rsidRDefault="00126D8C" w14:paraId="2EDF16F1" w14:textId="77777777">
            <w:pPr>
              <w:contextualSpacing/>
            </w:pPr>
            <w:r w:rsidRPr="0019182A">
              <w:t>Kent</w:t>
            </w:r>
          </w:p>
        </w:tc>
        <w:tc>
          <w:tcPr>
            <w:tcW w:w="2024" w:type="dxa"/>
            <w:noWrap/>
            <w:hideMark/>
          </w:tcPr>
          <w:p w:rsidRPr="0019182A" w:rsidR="00126D8C" w:rsidP="00BD2CE2" w:rsidRDefault="00126D8C" w14:paraId="3F7FEB80" w14:textId="77777777">
            <w:pPr>
              <w:contextualSpacing/>
              <w:jc w:val="center"/>
            </w:pPr>
            <w:r w:rsidRPr="0019182A">
              <w:t>135.17</w:t>
            </w:r>
          </w:p>
        </w:tc>
        <w:tc>
          <w:tcPr>
            <w:tcW w:w="1924" w:type="dxa"/>
            <w:noWrap/>
            <w:hideMark/>
          </w:tcPr>
          <w:p w:rsidRPr="0019182A" w:rsidR="00126D8C" w:rsidP="00BD2CE2" w:rsidRDefault="00126D8C" w14:paraId="297A6013" w14:textId="77777777">
            <w:pPr>
              <w:contextualSpacing/>
              <w:jc w:val="center"/>
            </w:pPr>
            <w:r w:rsidRPr="0019182A">
              <w:t>38</w:t>
            </w:r>
          </w:p>
        </w:tc>
        <w:tc>
          <w:tcPr>
            <w:tcW w:w="1349" w:type="dxa"/>
            <w:noWrap/>
            <w:hideMark/>
          </w:tcPr>
          <w:p w:rsidRPr="0019182A" w:rsidR="00126D8C" w:rsidP="00BD2CE2" w:rsidRDefault="00126D8C" w14:paraId="56C472D2" w14:textId="77777777">
            <w:pPr>
              <w:contextualSpacing/>
              <w:jc w:val="center"/>
            </w:pPr>
            <w:r w:rsidRPr="0019182A">
              <w:t>5,136.46</w:t>
            </w:r>
          </w:p>
        </w:tc>
      </w:tr>
      <w:tr w:rsidRPr="0019182A" w:rsidR="00126D8C" w:rsidTr="00DC1E40" w14:paraId="748981A3" w14:textId="77777777">
        <w:trPr>
          <w:trHeight w:val="340"/>
          <w:jc w:val="center"/>
        </w:trPr>
        <w:tc>
          <w:tcPr>
            <w:tcW w:w="601" w:type="dxa"/>
          </w:tcPr>
          <w:p w:rsidRPr="0019182A" w:rsidR="00126D8C" w:rsidP="00BD2CE2" w:rsidRDefault="00126D8C" w14:paraId="4717D4A2" w14:textId="77777777">
            <w:pPr>
              <w:contextualSpacing/>
              <w:jc w:val="center"/>
            </w:pPr>
            <w:r>
              <w:t>5</w:t>
            </w:r>
          </w:p>
        </w:tc>
        <w:tc>
          <w:tcPr>
            <w:tcW w:w="2807" w:type="dxa"/>
            <w:noWrap/>
            <w:hideMark/>
          </w:tcPr>
          <w:p w:rsidRPr="0019182A" w:rsidR="00126D8C" w:rsidP="00BD2CE2" w:rsidRDefault="00126D8C" w14:paraId="784512EE" w14:textId="77777777">
            <w:pPr>
              <w:contextualSpacing/>
            </w:pPr>
            <w:r w:rsidRPr="0019182A">
              <w:t>Loughborough</w:t>
            </w:r>
          </w:p>
        </w:tc>
        <w:tc>
          <w:tcPr>
            <w:tcW w:w="2024" w:type="dxa"/>
            <w:noWrap/>
            <w:hideMark/>
          </w:tcPr>
          <w:p w:rsidRPr="0019182A" w:rsidR="00126D8C" w:rsidP="00BD2CE2" w:rsidRDefault="00126D8C" w14:paraId="0CF42AA0" w14:textId="77777777">
            <w:pPr>
              <w:contextualSpacing/>
              <w:jc w:val="center"/>
            </w:pPr>
            <w:r w:rsidRPr="0019182A">
              <w:t>126.68</w:t>
            </w:r>
          </w:p>
        </w:tc>
        <w:tc>
          <w:tcPr>
            <w:tcW w:w="1924" w:type="dxa"/>
            <w:noWrap/>
            <w:hideMark/>
          </w:tcPr>
          <w:p w:rsidRPr="0019182A" w:rsidR="00126D8C" w:rsidP="00BD2CE2" w:rsidRDefault="00126D8C" w14:paraId="0E1400D6" w14:textId="77777777">
            <w:pPr>
              <w:contextualSpacing/>
              <w:jc w:val="center"/>
            </w:pPr>
            <w:r w:rsidRPr="0019182A">
              <w:t>41</w:t>
            </w:r>
          </w:p>
        </w:tc>
        <w:tc>
          <w:tcPr>
            <w:tcW w:w="1349" w:type="dxa"/>
            <w:noWrap/>
            <w:hideMark/>
          </w:tcPr>
          <w:p w:rsidRPr="0019182A" w:rsidR="00126D8C" w:rsidP="00BD2CE2" w:rsidRDefault="00126D8C" w14:paraId="3070DAE0" w14:textId="77777777">
            <w:pPr>
              <w:contextualSpacing/>
              <w:jc w:val="center"/>
            </w:pPr>
            <w:r w:rsidRPr="0019182A">
              <w:t>5,193.88</w:t>
            </w:r>
          </w:p>
        </w:tc>
      </w:tr>
      <w:tr w:rsidRPr="0019182A" w:rsidR="00126D8C" w:rsidTr="00DC1E40" w14:paraId="7E008883" w14:textId="77777777">
        <w:trPr>
          <w:trHeight w:val="340"/>
          <w:jc w:val="center"/>
        </w:trPr>
        <w:tc>
          <w:tcPr>
            <w:tcW w:w="601" w:type="dxa"/>
          </w:tcPr>
          <w:p w:rsidRPr="0019182A" w:rsidR="00126D8C" w:rsidP="00BD2CE2" w:rsidRDefault="00126D8C" w14:paraId="5A3F483E" w14:textId="77777777">
            <w:pPr>
              <w:contextualSpacing/>
              <w:jc w:val="center"/>
            </w:pPr>
            <w:r>
              <w:t>6</w:t>
            </w:r>
          </w:p>
        </w:tc>
        <w:tc>
          <w:tcPr>
            <w:tcW w:w="2807" w:type="dxa"/>
            <w:noWrap/>
            <w:hideMark/>
          </w:tcPr>
          <w:p w:rsidRPr="0019182A" w:rsidR="00126D8C" w:rsidP="00BD2CE2" w:rsidRDefault="00126D8C" w14:paraId="48C36071" w14:textId="77777777">
            <w:pPr>
              <w:contextualSpacing/>
            </w:pPr>
            <w:r w:rsidRPr="0019182A">
              <w:t>Surrey</w:t>
            </w:r>
          </w:p>
        </w:tc>
        <w:tc>
          <w:tcPr>
            <w:tcW w:w="2024" w:type="dxa"/>
            <w:noWrap/>
            <w:hideMark/>
          </w:tcPr>
          <w:p w:rsidRPr="0019182A" w:rsidR="00126D8C" w:rsidP="00BD2CE2" w:rsidRDefault="00126D8C" w14:paraId="0A57BACD" w14:textId="77777777">
            <w:pPr>
              <w:contextualSpacing/>
              <w:jc w:val="center"/>
            </w:pPr>
            <w:r w:rsidRPr="0019182A">
              <w:t>139.50</w:t>
            </w:r>
          </w:p>
        </w:tc>
        <w:tc>
          <w:tcPr>
            <w:tcW w:w="1924" w:type="dxa"/>
            <w:noWrap/>
            <w:hideMark/>
          </w:tcPr>
          <w:p w:rsidRPr="0019182A" w:rsidR="00126D8C" w:rsidP="00BD2CE2" w:rsidRDefault="00126D8C" w14:paraId="62A60597" w14:textId="77777777">
            <w:pPr>
              <w:contextualSpacing/>
              <w:jc w:val="center"/>
            </w:pPr>
            <w:r w:rsidRPr="0019182A">
              <w:t>38</w:t>
            </w:r>
          </w:p>
        </w:tc>
        <w:tc>
          <w:tcPr>
            <w:tcW w:w="1349" w:type="dxa"/>
            <w:noWrap/>
            <w:hideMark/>
          </w:tcPr>
          <w:p w:rsidRPr="0019182A" w:rsidR="00126D8C" w:rsidP="00BD2CE2" w:rsidRDefault="00126D8C" w14:paraId="163157C3" w14:textId="77777777">
            <w:pPr>
              <w:contextualSpacing/>
              <w:jc w:val="center"/>
            </w:pPr>
            <w:r w:rsidRPr="0019182A">
              <w:t>5,301.00</w:t>
            </w:r>
          </w:p>
        </w:tc>
      </w:tr>
      <w:tr w:rsidRPr="0019182A" w:rsidR="00126D8C" w:rsidTr="00DC1E40" w14:paraId="02C11092" w14:textId="77777777">
        <w:trPr>
          <w:trHeight w:val="340"/>
          <w:jc w:val="center"/>
        </w:trPr>
        <w:tc>
          <w:tcPr>
            <w:tcW w:w="601" w:type="dxa"/>
          </w:tcPr>
          <w:p w:rsidRPr="0019182A" w:rsidR="00126D8C" w:rsidP="00BD2CE2" w:rsidRDefault="00126D8C" w14:paraId="7581FE07" w14:textId="77777777">
            <w:pPr>
              <w:contextualSpacing/>
              <w:jc w:val="center"/>
            </w:pPr>
            <w:r>
              <w:t>7</w:t>
            </w:r>
          </w:p>
        </w:tc>
        <w:tc>
          <w:tcPr>
            <w:tcW w:w="2807" w:type="dxa"/>
            <w:noWrap/>
            <w:hideMark/>
          </w:tcPr>
          <w:p w:rsidRPr="0019182A" w:rsidR="00126D8C" w:rsidP="00BD2CE2" w:rsidRDefault="00126D8C" w14:paraId="16FB36E0" w14:textId="77777777">
            <w:pPr>
              <w:contextualSpacing/>
            </w:pPr>
            <w:r w:rsidRPr="0019182A">
              <w:t>UEA</w:t>
            </w:r>
          </w:p>
        </w:tc>
        <w:tc>
          <w:tcPr>
            <w:tcW w:w="2024" w:type="dxa"/>
            <w:noWrap/>
            <w:hideMark/>
          </w:tcPr>
          <w:p w:rsidRPr="0019182A" w:rsidR="00126D8C" w:rsidP="00BD2CE2" w:rsidRDefault="00126D8C" w14:paraId="3E74EB3E" w14:textId="77777777">
            <w:pPr>
              <w:contextualSpacing/>
              <w:jc w:val="center"/>
            </w:pPr>
            <w:r w:rsidRPr="0019182A">
              <w:t>134.47</w:t>
            </w:r>
          </w:p>
        </w:tc>
        <w:tc>
          <w:tcPr>
            <w:tcW w:w="1924" w:type="dxa"/>
            <w:noWrap/>
            <w:hideMark/>
          </w:tcPr>
          <w:p w:rsidRPr="0019182A" w:rsidR="00126D8C" w:rsidP="00BD2CE2" w:rsidRDefault="00126D8C" w14:paraId="26718862" w14:textId="77777777">
            <w:pPr>
              <w:contextualSpacing/>
              <w:jc w:val="center"/>
            </w:pPr>
            <w:r w:rsidRPr="0019182A">
              <w:t>40</w:t>
            </w:r>
          </w:p>
        </w:tc>
        <w:tc>
          <w:tcPr>
            <w:tcW w:w="1349" w:type="dxa"/>
            <w:noWrap/>
            <w:hideMark/>
          </w:tcPr>
          <w:p w:rsidRPr="0019182A" w:rsidR="00126D8C" w:rsidP="00BD2CE2" w:rsidRDefault="00126D8C" w14:paraId="6C89EFCA" w14:textId="77777777">
            <w:pPr>
              <w:contextualSpacing/>
              <w:jc w:val="center"/>
            </w:pPr>
            <w:r w:rsidRPr="0019182A">
              <w:t>5,378.80</w:t>
            </w:r>
          </w:p>
        </w:tc>
      </w:tr>
      <w:tr w:rsidRPr="0019182A" w:rsidR="00126D8C" w:rsidTr="00DC1E40" w14:paraId="256E2C9E" w14:textId="77777777">
        <w:trPr>
          <w:trHeight w:val="340"/>
          <w:jc w:val="center"/>
        </w:trPr>
        <w:tc>
          <w:tcPr>
            <w:tcW w:w="601" w:type="dxa"/>
          </w:tcPr>
          <w:p w:rsidRPr="0019182A" w:rsidR="00126D8C" w:rsidP="00BD2CE2" w:rsidRDefault="00126D8C" w14:paraId="43A57201" w14:textId="77777777">
            <w:pPr>
              <w:contextualSpacing/>
              <w:jc w:val="center"/>
            </w:pPr>
            <w:r>
              <w:t>8</w:t>
            </w:r>
          </w:p>
        </w:tc>
        <w:tc>
          <w:tcPr>
            <w:tcW w:w="2807" w:type="dxa"/>
            <w:noWrap/>
            <w:hideMark/>
          </w:tcPr>
          <w:p w:rsidRPr="0019182A" w:rsidR="00126D8C" w:rsidP="00BD2CE2" w:rsidRDefault="00126D8C" w14:paraId="3D135659" w14:textId="77777777">
            <w:pPr>
              <w:contextualSpacing/>
            </w:pPr>
            <w:r w:rsidRPr="0019182A">
              <w:t>York</w:t>
            </w:r>
          </w:p>
        </w:tc>
        <w:tc>
          <w:tcPr>
            <w:tcW w:w="2024" w:type="dxa"/>
            <w:noWrap/>
            <w:hideMark/>
          </w:tcPr>
          <w:p w:rsidRPr="0019182A" w:rsidR="00126D8C" w:rsidP="00BD2CE2" w:rsidRDefault="00126D8C" w14:paraId="29E477D7" w14:textId="77777777">
            <w:pPr>
              <w:contextualSpacing/>
              <w:jc w:val="center"/>
            </w:pPr>
            <w:r w:rsidRPr="0019182A">
              <w:t>141.00</w:t>
            </w:r>
          </w:p>
        </w:tc>
        <w:tc>
          <w:tcPr>
            <w:tcW w:w="1924" w:type="dxa"/>
            <w:noWrap/>
            <w:hideMark/>
          </w:tcPr>
          <w:p w:rsidRPr="0019182A" w:rsidR="00126D8C" w:rsidP="00BD2CE2" w:rsidRDefault="00126D8C" w14:paraId="3CD62EF9" w14:textId="77777777">
            <w:pPr>
              <w:contextualSpacing/>
              <w:jc w:val="center"/>
            </w:pPr>
            <w:r w:rsidRPr="0019182A">
              <w:t>40</w:t>
            </w:r>
          </w:p>
        </w:tc>
        <w:tc>
          <w:tcPr>
            <w:tcW w:w="1349" w:type="dxa"/>
            <w:noWrap/>
            <w:hideMark/>
          </w:tcPr>
          <w:p w:rsidRPr="0019182A" w:rsidR="00126D8C" w:rsidP="00BD2CE2" w:rsidRDefault="00126D8C" w14:paraId="7FD4E550" w14:textId="77777777">
            <w:pPr>
              <w:contextualSpacing/>
              <w:jc w:val="center"/>
            </w:pPr>
            <w:r w:rsidRPr="0019182A">
              <w:t>5,640.00</w:t>
            </w:r>
          </w:p>
        </w:tc>
      </w:tr>
      <w:tr w:rsidRPr="0019182A" w:rsidR="00126D8C" w:rsidTr="00DC1E40" w14:paraId="3564F649" w14:textId="77777777">
        <w:trPr>
          <w:trHeight w:val="340"/>
          <w:jc w:val="center"/>
        </w:trPr>
        <w:tc>
          <w:tcPr>
            <w:tcW w:w="601" w:type="dxa"/>
            <w:shd w:val="clear" w:color="auto" w:fill="D9D9D9" w:themeFill="background1" w:themeFillShade="D9"/>
          </w:tcPr>
          <w:p w:rsidRPr="0019182A" w:rsidR="00126D8C" w:rsidP="00BD2CE2" w:rsidRDefault="00126D8C" w14:paraId="0EB27B4C" w14:textId="77777777">
            <w:pPr>
              <w:contextualSpacing/>
              <w:jc w:val="center"/>
            </w:pPr>
            <w:r>
              <w:t>9</w:t>
            </w:r>
          </w:p>
        </w:tc>
        <w:tc>
          <w:tcPr>
            <w:tcW w:w="2807" w:type="dxa"/>
            <w:shd w:val="clear" w:color="auto" w:fill="D9D9D9" w:themeFill="background1" w:themeFillShade="D9"/>
            <w:noWrap/>
            <w:hideMark/>
          </w:tcPr>
          <w:p w:rsidRPr="0019182A" w:rsidR="00126D8C" w:rsidP="00BD2CE2" w:rsidRDefault="00126D8C" w14:paraId="7030DA8A" w14:textId="77777777">
            <w:pPr>
              <w:contextualSpacing/>
            </w:pPr>
            <w:r w:rsidRPr="0019182A">
              <w:t>Lancaster</w:t>
            </w:r>
          </w:p>
        </w:tc>
        <w:tc>
          <w:tcPr>
            <w:tcW w:w="2024" w:type="dxa"/>
            <w:shd w:val="clear" w:color="auto" w:fill="D9D9D9" w:themeFill="background1" w:themeFillShade="D9"/>
            <w:noWrap/>
            <w:hideMark/>
          </w:tcPr>
          <w:p w:rsidRPr="0019182A" w:rsidR="00126D8C" w:rsidP="00BD2CE2" w:rsidRDefault="00126D8C" w14:paraId="1D3CC85C" w14:textId="77777777">
            <w:pPr>
              <w:contextualSpacing/>
              <w:jc w:val="center"/>
            </w:pPr>
            <w:r w:rsidRPr="0019182A">
              <w:t>142.52</w:t>
            </w:r>
          </w:p>
        </w:tc>
        <w:tc>
          <w:tcPr>
            <w:tcW w:w="1924" w:type="dxa"/>
            <w:shd w:val="clear" w:color="auto" w:fill="D9D9D9" w:themeFill="background1" w:themeFillShade="D9"/>
            <w:noWrap/>
            <w:hideMark/>
          </w:tcPr>
          <w:p w:rsidRPr="0019182A" w:rsidR="00126D8C" w:rsidP="00BD2CE2" w:rsidRDefault="00126D8C" w14:paraId="3FDF3E60" w14:textId="77777777">
            <w:pPr>
              <w:contextualSpacing/>
              <w:jc w:val="center"/>
            </w:pPr>
            <w:r w:rsidRPr="0019182A">
              <w:t>40</w:t>
            </w:r>
          </w:p>
        </w:tc>
        <w:tc>
          <w:tcPr>
            <w:tcW w:w="1349" w:type="dxa"/>
            <w:shd w:val="clear" w:color="auto" w:fill="D9D9D9" w:themeFill="background1" w:themeFillShade="D9"/>
            <w:noWrap/>
            <w:hideMark/>
          </w:tcPr>
          <w:p w:rsidRPr="0019182A" w:rsidR="00126D8C" w:rsidP="00BD2CE2" w:rsidRDefault="00126D8C" w14:paraId="7268B141" w14:textId="77777777">
            <w:pPr>
              <w:contextualSpacing/>
              <w:jc w:val="center"/>
            </w:pPr>
            <w:r w:rsidRPr="0019182A">
              <w:t>5,700.80</w:t>
            </w:r>
          </w:p>
        </w:tc>
      </w:tr>
      <w:tr w:rsidRPr="0019182A" w:rsidR="00126D8C" w:rsidTr="00DC1E40" w14:paraId="2089C901" w14:textId="77777777">
        <w:trPr>
          <w:trHeight w:val="340"/>
          <w:jc w:val="center"/>
        </w:trPr>
        <w:tc>
          <w:tcPr>
            <w:tcW w:w="601" w:type="dxa"/>
          </w:tcPr>
          <w:p w:rsidRPr="0019182A" w:rsidR="00126D8C" w:rsidP="00BD2CE2" w:rsidRDefault="00126D8C" w14:paraId="7D49291B" w14:textId="77777777">
            <w:pPr>
              <w:contextualSpacing/>
              <w:jc w:val="center"/>
            </w:pPr>
            <w:r>
              <w:t>10</w:t>
            </w:r>
          </w:p>
        </w:tc>
        <w:tc>
          <w:tcPr>
            <w:tcW w:w="2807" w:type="dxa"/>
            <w:noWrap/>
            <w:hideMark/>
          </w:tcPr>
          <w:p w:rsidRPr="0019182A" w:rsidR="00126D8C" w:rsidP="00BD2CE2" w:rsidRDefault="00126D8C" w14:paraId="7ABAE1CC" w14:textId="77777777">
            <w:pPr>
              <w:contextualSpacing/>
            </w:pPr>
            <w:r w:rsidRPr="0019182A">
              <w:t>Exeter</w:t>
            </w:r>
          </w:p>
        </w:tc>
        <w:tc>
          <w:tcPr>
            <w:tcW w:w="2024" w:type="dxa"/>
            <w:noWrap/>
            <w:hideMark/>
          </w:tcPr>
          <w:p w:rsidRPr="0019182A" w:rsidR="00126D8C" w:rsidP="00BD2CE2" w:rsidRDefault="00126D8C" w14:paraId="6E754C03" w14:textId="77777777">
            <w:pPr>
              <w:contextualSpacing/>
              <w:jc w:val="center"/>
            </w:pPr>
            <w:r w:rsidRPr="0019182A">
              <w:t>139.09</w:t>
            </w:r>
          </w:p>
        </w:tc>
        <w:tc>
          <w:tcPr>
            <w:tcW w:w="1924" w:type="dxa"/>
            <w:noWrap/>
            <w:hideMark/>
          </w:tcPr>
          <w:p w:rsidRPr="0019182A" w:rsidR="00126D8C" w:rsidP="00BD2CE2" w:rsidRDefault="00126D8C" w14:paraId="24F20780" w14:textId="77777777">
            <w:pPr>
              <w:contextualSpacing/>
              <w:jc w:val="center"/>
            </w:pPr>
            <w:r w:rsidRPr="0019182A">
              <w:t>42</w:t>
            </w:r>
          </w:p>
        </w:tc>
        <w:tc>
          <w:tcPr>
            <w:tcW w:w="1349" w:type="dxa"/>
            <w:noWrap/>
            <w:hideMark/>
          </w:tcPr>
          <w:p w:rsidRPr="0019182A" w:rsidR="00126D8C" w:rsidP="00BD2CE2" w:rsidRDefault="00126D8C" w14:paraId="74168F71" w14:textId="77777777">
            <w:pPr>
              <w:contextualSpacing/>
              <w:jc w:val="center"/>
            </w:pPr>
            <w:r w:rsidRPr="0019182A">
              <w:t>5,841.78</w:t>
            </w:r>
          </w:p>
        </w:tc>
      </w:tr>
      <w:tr w:rsidRPr="0019182A" w:rsidR="00126D8C" w:rsidTr="00DC1E40" w14:paraId="435F826E" w14:textId="77777777">
        <w:trPr>
          <w:trHeight w:val="340"/>
          <w:jc w:val="center"/>
        </w:trPr>
        <w:tc>
          <w:tcPr>
            <w:tcW w:w="601" w:type="dxa"/>
          </w:tcPr>
          <w:p w:rsidRPr="0019182A" w:rsidR="00126D8C" w:rsidP="00BD2CE2" w:rsidRDefault="00126D8C" w14:paraId="60F0F504" w14:textId="77777777">
            <w:pPr>
              <w:contextualSpacing/>
              <w:jc w:val="center"/>
            </w:pPr>
            <w:r>
              <w:t>11</w:t>
            </w:r>
          </w:p>
        </w:tc>
        <w:tc>
          <w:tcPr>
            <w:tcW w:w="2807" w:type="dxa"/>
            <w:noWrap/>
            <w:hideMark/>
          </w:tcPr>
          <w:p w:rsidRPr="0019182A" w:rsidR="00126D8C" w:rsidP="00BD2CE2" w:rsidRDefault="00126D8C" w14:paraId="16F48980" w14:textId="77777777">
            <w:pPr>
              <w:contextualSpacing/>
            </w:pPr>
            <w:r w:rsidRPr="0019182A">
              <w:t>Bath</w:t>
            </w:r>
          </w:p>
        </w:tc>
        <w:tc>
          <w:tcPr>
            <w:tcW w:w="2024" w:type="dxa"/>
            <w:noWrap/>
            <w:hideMark/>
          </w:tcPr>
          <w:p w:rsidRPr="0019182A" w:rsidR="00126D8C" w:rsidP="00BD2CE2" w:rsidRDefault="00126D8C" w14:paraId="3E4BAE52" w14:textId="77777777">
            <w:pPr>
              <w:contextualSpacing/>
              <w:jc w:val="center"/>
            </w:pPr>
            <w:r w:rsidRPr="0019182A">
              <w:t>155.00</w:t>
            </w:r>
          </w:p>
        </w:tc>
        <w:tc>
          <w:tcPr>
            <w:tcW w:w="1924" w:type="dxa"/>
            <w:noWrap/>
            <w:hideMark/>
          </w:tcPr>
          <w:p w:rsidRPr="0019182A" w:rsidR="00126D8C" w:rsidP="00BD2CE2" w:rsidRDefault="00126D8C" w14:paraId="786B49D1" w14:textId="77777777">
            <w:pPr>
              <w:contextualSpacing/>
              <w:jc w:val="center"/>
            </w:pPr>
            <w:r w:rsidRPr="0019182A">
              <w:t>38</w:t>
            </w:r>
          </w:p>
        </w:tc>
        <w:tc>
          <w:tcPr>
            <w:tcW w:w="1349" w:type="dxa"/>
            <w:noWrap/>
            <w:hideMark/>
          </w:tcPr>
          <w:p w:rsidRPr="0019182A" w:rsidR="00126D8C" w:rsidP="00BD2CE2" w:rsidRDefault="00126D8C" w14:paraId="46FBC273" w14:textId="77777777">
            <w:pPr>
              <w:contextualSpacing/>
              <w:jc w:val="center"/>
            </w:pPr>
            <w:r w:rsidRPr="0019182A">
              <w:t>5,890.00</w:t>
            </w:r>
          </w:p>
        </w:tc>
      </w:tr>
      <w:tr w:rsidRPr="0019182A" w:rsidR="00126D8C" w:rsidTr="00DC1E40" w14:paraId="4BAA537E" w14:textId="77777777">
        <w:trPr>
          <w:trHeight w:val="340"/>
          <w:jc w:val="center"/>
        </w:trPr>
        <w:tc>
          <w:tcPr>
            <w:tcW w:w="601" w:type="dxa"/>
          </w:tcPr>
          <w:p w:rsidRPr="0019182A" w:rsidR="00126D8C" w:rsidP="00BD2CE2" w:rsidRDefault="00126D8C" w14:paraId="421B88D5" w14:textId="77777777">
            <w:pPr>
              <w:contextualSpacing/>
              <w:jc w:val="center"/>
            </w:pPr>
            <w:r>
              <w:t>12</w:t>
            </w:r>
          </w:p>
        </w:tc>
        <w:tc>
          <w:tcPr>
            <w:tcW w:w="2807" w:type="dxa"/>
            <w:noWrap/>
            <w:hideMark/>
          </w:tcPr>
          <w:p w:rsidRPr="0019182A" w:rsidR="00126D8C" w:rsidP="00BD2CE2" w:rsidRDefault="00126D8C" w14:paraId="355D292C" w14:textId="77777777">
            <w:pPr>
              <w:contextualSpacing/>
            </w:pPr>
            <w:r w:rsidRPr="0019182A">
              <w:t>St Andrews</w:t>
            </w:r>
          </w:p>
        </w:tc>
        <w:tc>
          <w:tcPr>
            <w:tcW w:w="2024" w:type="dxa"/>
            <w:noWrap/>
            <w:hideMark/>
          </w:tcPr>
          <w:p w:rsidRPr="0019182A" w:rsidR="00126D8C" w:rsidP="00BD2CE2" w:rsidRDefault="00126D8C" w14:paraId="52015600" w14:textId="77777777">
            <w:pPr>
              <w:contextualSpacing/>
              <w:jc w:val="center"/>
            </w:pPr>
            <w:r w:rsidRPr="0019182A">
              <w:t>175.09</w:t>
            </w:r>
          </w:p>
        </w:tc>
        <w:tc>
          <w:tcPr>
            <w:tcW w:w="1924" w:type="dxa"/>
            <w:noWrap/>
            <w:hideMark/>
          </w:tcPr>
          <w:p w:rsidRPr="0019182A" w:rsidR="00126D8C" w:rsidP="00BD2CE2" w:rsidRDefault="00126D8C" w14:paraId="184D0FC0" w14:textId="77777777">
            <w:pPr>
              <w:contextualSpacing/>
              <w:jc w:val="center"/>
            </w:pPr>
            <w:r w:rsidRPr="0019182A">
              <w:t>34</w:t>
            </w:r>
          </w:p>
        </w:tc>
        <w:tc>
          <w:tcPr>
            <w:tcW w:w="1349" w:type="dxa"/>
            <w:noWrap/>
            <w:hideMark/>
          </w:tcPr>
          <w:p w:rsidRPr="0019182A" w:rsidR="00126D8C" w:rsidP="00BD2CE2" w:rsidRDefault="00126D8C" w14:paraId="5F61F2BE" w14:textId="77777777">
            <w:pPr>
              <w:contextualSpacing/>
              <w:jc w:val="center"/>
            </w:pPr>
            <w:r w:rsidRPr="0019182A">
              <w:t>5,953.06</w:t>
            </w:r>
          </w:p>
        </w:tc>
      </w:tr>
      <w:tr w:rsidRPr="0019182A" w:rsidR="00126D8C" w:rsidTr="00DC1E40" w14:paraId="4E323879" w14:textId="77777777">
        <w:trPr>
          <w:trHeight w:val="340"/>
          <w:jc w:val="center"/>
        </w:trPr>
        <w:tc>
          <w:tcPr>
            <w:tcW w:w="601" w:type="dxa"/>
          </w:tcPr>
          <w:p w:rsidRPr="0019182A" w:rsidR="00126D8C" w:rsidP="00BD2CE2" w:rsidRDefault="00126D8C" w14:paraId="6051D4E6" w14:textId="77777777">
            <w:pPr>
              <w:contextualSpacing/>
              <w:jc w:val="center"/>
            </w:pPr>
            <w:r>
              <w:t>13</w:t>
            </w:r>
          </w:p>
        </w:tc>
        <w:tc>
          <w:tcPr>
            <w:tcW w:w="2807" w:type="dxa"/>
            <w:noWrap/>
            <w:hideMark/>
          </w:tcPr>
          <w:p w:rsidRPr="0019182A" w:rsidR="00126D8C" w:rsidP="00BD2CE2" w:rsidRDefault="00126D8C" w14:paraId="3E616A60" w14:textId="77777777">
            <w:pPr>
              <w:contextualSpacing/>
            </w:pPr>
            <w:r w:rsidRPr="0019182A">
              <w:t>Dundee</w:t>
            </w:r>
          </w:p>
        </w:tc>
        <w:tc>
          <w:tcPr>
            <w:tcW w:w="2024" w:type="dxa"/>
            <w:noWrap/>
            <w:hideMark/>
          </w:tcPr>
          <w:p w:rsidRPr="0019182A" w:rsidR="00126D8C" w:rsidP="00BD2CE2" w:rsidRDefault="00126D8C" w14:paraId="3A3AB127" w14:textId="77777777">
            <w:pPr>
              <w:contextualSpacing/>
              <w:jc w:val="center"/>
            </w:pPr>
            <w:r w:rsidRPr="0019182A">
              <w:t>153.82</w:t>
            </w:r>
          </w:p>
        </w:tc>
        <w:tc>
          <w:tcPr>
            <w:tcW w:w="1924" w:type="dxa"/>
            <w:noWrap/>
            <w:hideMark/>
          </w:tcPr>
          <w:p w:rsidRPr="0019182A" w:rsidR="00126D8C" w:rsidP="00BD2CE2" w:rsidRDefault="00126D8C" w14:paraId="78AAFB8F" w14:textId="77777777">
            <w:pPr>
              <w:contextualSpacing/>
              <w:jc w:val="center"/>
            </w:pPr>
            <w:r w:rsidRPr="0019182A">
              <w:t>39</w:t>
            </w:r>
          </w:p>
        </w:tc>
        <w:tc>
          <w:tcPr>
            <w:tcW w:w="1349" w:type="dxa"/>
            <w:noWrap/>
            <w:hideMark/>
          </w:tcPr>
          <w:p w:rsidRPr="0019182A" w:rsidR="00126D8C" w:rsidP="00BD2CE2" w:rsidRDefault="00126D8C" w14:paraId="52818759" w14:textId="77777777">
            <w:pPr>
              <w:contextualSpacing/>
              <w:jc w:val="center"/>
            </w:pPr>
            <w:r w:rsidRPr="0019182A">
              <w:t>5,998.98</w:t>
            </w:r>
          </w:p>
        </w:tc>
      </w:tr>
      <w:tr w:rsidRPr="0019182A" w:rsidR="00126D8C" w:rsidTr="00DC1E40" w14:paraId="210BDA30" w14:textId="77777777">
        <w:trPr>
          <w:trHeight w:val="340"/>
          <w:jc w:val="center"/>
        </w:trPr>
        <w:tc>
          <w:tcPr>
            <w:tcW w:w="601" w:type="dxa"/>
          </w:tcPr>
          <w:p w:rsidRPr="0019182A" w:rsidR="00126D8C" w:rsidP="00BD2CE2" w:rsidRDefault="00126D8C" w14:paraId="77AD5D4F" w14:textId="77777777">
            <w:pPr>
              <w:contextualSpacing/>
              <w:jc w:val="center"/>
            </w:pPr>
            <w:r>
              <w:t>14</w:t>
            </w:r>
          </w:p>
        </w:tc>
        <w:tc>
          <w:tcPr>
            <w:tcW w:w="2807" w:type="dxa"/>
            <w:noWrap/>
            <w:hideMark/>
          </w:tcPr>
          <w:p w:rsidRPr="0019182A" w:rsidR="00126D8C" w:rsidP="00BD2CE2" w:rsidRDefault="00126D8C" w14:paraId="50E19A5B" w14:textId="77777777">
            <w:pPr>
              <w:contextualSpacing/>
            </w:pPr>
            <w:r w:rsidRPr="0019182A">
              <w:t>Swansea</w:t>
            </w:r>
          </w:p>
        </w:tc>
        <w:tc>
          <w:tcPr>
            <w:tcW w:w="2024" w:type="dxa"/>
            <w:noWrap/>
            <w:hideMark/>
          </w:tcPr>
          <w:p w:rsidRPr="0019182A" w:rsidR="00126D8C" w:rsidP="00BD2CE2" w:rsidRDefault="00126D8C" w14:paraId="79EB7C3B" w14:textId="77777777">
            <w:pPr>
              <w:contextualSpacing/>
              <w:jc w:val="center"/>
            </w:pPr>
            <w:r w:rsidRPr="0019182A">
              <w:t>150.00</w:t>
            </w:r>
          </w:p>
        </w:tc>
        <w:tc>
          <w:tcPr>
            <w:tcW w:w="1924" w:type="dxa"/>
            <w:noWrap/>
            <w:hideMark/>
          </w:tcPr>
          <w:p w:rsidRPr="0019182A" w:rsidR="00126D8C" w:rsidP="00BD2CE2" w:rsidRDefault="00126D8C" w14:paraId="5A09E835" w14:textId="77777777">
            <w:pPr>
              <w:contextualSpacing/>
              <w:jc w:val="center"/>
            </w:pPr>
            <w:r w:rsidRPr="0019182A">
              <w:t>40</w:t>
            </w:r>
          </w:p>
        </w:tc>
        <w:tc>
          <w:tcPr>
            <w:tcW w:w="1349" w:type="dxa"/>
            <w:noWrap/>
            <w:hideMark/>
          </w:tcPr>
          <w:p w:rsidRPr="0019182A" w:rsidR="00126D8C" w:rsidP="00BD2CE2" w:rsidRDefault="00126D8C" w14:paraId="491E0DFF" w14:textId="77777777">
            <w:pPr>
              <w:contextualSpacing/>
              <w:jc w:val="center"/>
            </w:pPr>
            <w:r w:rsidRPr="0019182A">
              <w:t>6,000.00</w:t>
            </w:r>
          </w:p>
        </w:tc>
      </w:tr>
      <w:tr w:rsidRPr="0019182A" w:rsidR="00126D8C" w:rsidTr="00DC1E40" w14:paraId="152237AE" w14:textId="77777777">
        <w:trPr>
          <w:trHeight w:val="340"/>
          <w:jc w:val="center"/>
        </w:trPr>
        <w:tc>
          <w:tcPr>
            <w:tcW w:w="601" w:type="dxa"/>
          </w:tcPr>
          <w:p w:rsidRPr="0019182A" w:rsidR="00126D8C" w:rsidP="00BD2CE2" w:rsidRDefault="00126D8C" w14:paraId="5EBE2227" w14:textId="77777777">
            <w:pPr>
              <w:contextualSpacing/>
              <w:jc w:val="center"/>
            </w:pPr>
            <w:r>
              <w:t>15</w:t>
            </w:r>
          </w:p>
        </w:tc>
        <w:tc>
          <w:tcPr>
            <w:tcW w:w="2807" w:type="dxa"/>
            <w:noWrap/>
            <w:hideMark/>
          </w:tcPr>
          <w:p w:rsidRPr="0019182A" w:rsidR="00126D8C" w:rsidP="00BD2CE2" w:rsidRDefault="00126D8C" w14:paraId="3F310D48" w14:textId="77777777">
            <w:pPr>
              <w:contextualSpacing/>
            </w:pPr>
            <w:r w:rsidRPr="0019182A">
              <w:t>Durham</w:t>
            </w:r>
          </w:p>
        </w:tc>
        <w:tc>
          <w:tcPr>
            <w:tcW w:w="2024" w:type="dxa"/>
            <w:noWrap/>
            <w:hideMark/>
          </w:tcPr>
          <w:p w:rsidRPr="0019182A" w:rsidR="00126D8C" w:rsidP="00BD2CE2" w:rsidRDefault="00126D8C" w14:paraId="57D75833" w14:textId="77777777">
            <w:pPr>
              <w:contextualSpacing/>
              <w:jc w:val="center"/>
            </w:pPr>
            <w:r w:rsidRPr="0019182A">
              <w:t>183.23</w:t>
            </w:r>
          </w:p>
        </w:tc>
        <w:tc>
          <w:tcPr>
            <w:tcW w:w="1924" w:type="dxa"/>
            <w:noWrap/>
            <w:hideMark/>
          </w:tcPr>
          <w:p w:rsidRPr="0019182A" w:rsidR="00126D8C" w:rsidP="00BD2CE2" w:rsidRDefault="00126D8C" w14:paraId="7B5F7C95" w14:textId="77777777">
            <w:pPr>
              <w:contextualSpacing/>
              <w:jc w:val="center"/>
            </w:pPr>
            <w:r w:rsidRPr="0019182A">
              <w:t>39</w:t>
            </w:r>
          </w:p>
        </w:tc>
        <w:tc>
          <w:tcPr>
            <w:tcW w:w="1349" w:type="dxa"/>
            <w:noWrap/>
            <w:hideMark/>
          </w:tcPr>
          <w:p w:rsidRPr="0019182A" w:rsidR="00126D8C" w:rsidP="00BD2CE2" w:rsidRDefault="00126D8C" w14:paraId="193B5B17" w14:textId="77777777">
            <w:pPr>
              <w:contextualSpacing/>
              <w:jc w:val="center"/>
            </w:pPr>
            <w:r w:rsidRPr="0019182A">
              <w:t>7,145.97</w:t>
            </w:r>
          </w:p>
        </w:tc>
      </w:tr>
    </w:tbl>
    <w:p w:rsidRPr="008C7E62" w:rsidR="00126D8C" w:rsidP="00126D8C" w:rsidRDefault="00126D8C" w14:paraId="5CBEDC23" w14:textId="77777777">
      <w:pPr>
        <w:jc w:val="center"/>
        <w:rPr>
          <w:i/>
          <w:iCs/>
          <w:sz w:val="18"/>
          <w:szCs w:val="18"/>
        </w:rPr>
      </w:pPr>
      <w:r>
        <w:rPr>
          <w:i/>
          <w:iCs/>
          <w:sz w:val="18"/>
          <w:szCs w:val="18"/>
        </w:rPr>
        <w:lastRenderedPageBreak/>
        <w:t>Table 1 Annual campus accommodation prices compared to comparator Universities</w:t>
      </w:r>
    </w:p>
    <w:p w:rsidR="00126D8C" w:rsidP="00F43547" w:rsidRDefault="00126D8C" w14:paraId="211000F6" w14:textId="53C27CE5">
      <w:pPr>
        <w:pStyle w:val="ListParagraph"/>
        <w:numPr>
          <w:ilvl w:val="1"/>
          <w:numId w:val="13"/>
        </w:numPr>
        <w:rPr/>
      </w:pPr>
      <w:r w:rsidR="00126D8C">
        <w:rPr/>
        <w:t>The table above shows Lancaster’s campus rent price position compared with our main comparator Universities, focussing on the ‘affordable offering’ at each. UCAS research in 2024 found that students choosing their university ranked low-cost accommodation as the 7</w:t>
      </w:r>
      <w:r w:rsidRPr="00F43547" w:rsidR="00126D8C">
        <w:rPr>
          <w:vertAlign w:val="superscript"/>
        </w:rPr>
        <w:t>th</w:t>
      </w:r>
      <w:r w:rsidR="00126D8C">
        <w:rPr/>
        <w:t xml:space="preserve"> most important factor they consider, just above mental health support while studying. Financial support whilst studying, cost-of-living support, and universities that are close to home ranked 2</w:t>
      </w:r>
      <w:r w:rsidRPr="00F43547" w:rsidR="00126D8C">
        <w:rPr>
          <w:vertAlign w:val="superscript"/>
        </w:rPr>
        <w:t>nd</w:t>
      </w:r>
      <w:r w:rsidR="00126D8C">
        <w:rPr/>
        <w:t xml:space="preserve"> through 4</w:t>
      </w:r>
      <w:r w:rsidRPr="00F43547" w:rsidR="00126D8C">
        <w:rPr>
          <w:vertAlign w:val="superscript"/>
        </w:rPr>
        <w:t>th</w:t>
      </w:r>
      <w:r w:rsidR="00126D8C">
        <w:rPr/>
        <w:t xml:space="preserve"> respectively</w:t>
      </w:r>
      <w:r>
        <w:rPr>
          <w:rStyle w:val="FootnoteReference"/>
        </w:rPr>
        <w:footnoteReference w:id="7"/>
      </w:r>
      <w:r w:rsidR="00126D8C">
        <w:rPr/>
        <w:t>. At a time when students are expecting to work alongside their studies, it is only understandable that accommodation price is a key consideration when students are choosing their university, and more students are considering commuting to avoid accommodation costs altogether. By these metrics, Lancaster University is not in a competitive position.</w:t>
      </w:r>
      <w:r>
        <w:br/>
      </w:r>
    </w:p>
    <w:p w:rsidR="00126D8C" w:rsidP="00F43547" w:rsidRDefault="00126D8C" w14:paraId="7E019376" w14:textId="5F8DC1AC">
      <w:pPr>
        <w:pStyle w:val="ListParagraph"/>
        <w:numPr>
          <w:ilvl w:val="1"/>
          <w:numId w:val="13"/>
        </w:numPr>
      </w:pPr>
      <w:r>
        <w:t>Our accommodation prices are tied up in a contract with UPP Ltd, initially signed over 20 years ago. Not only do they set the prices of the accommodation they own, but they stipulate that we do not undercut them with our own offering of equal standard. The Students’ Union is repeatedly told that there is nothing that can be done about the price of accommodation – when our student numbers are faltering, one wonders if that is still the case.</w:t>
      </w:r>
      <w:r>
        <w:br/>
      </w:r>
    </w:p>
    <w:p w:rsidRPr="002C74A7" w:rsidR="00126D8C" w:rsidP="00573555" w:rsidRDefault="00573555" w14:paraId="1D831B9E" w14:textId="0B31B45A">
      <w:pPr>
        <w:pStyle w:val="Heading2"/>
      </w:pPr>
      <w:r>
        <w:t>4.</w:t>
      </w:r>
      <w:r>
        <w:tab/>
      </w:r>
      <w:r w:rsidRPr="002C74A7" w:rsidR="00126D8C">
        <w:t>Recommendations</w:t>
      </w:r>
    </w:p>
    <w:p w:rsidRPr="00F43547" w:rsidR="00F43547" w:rsidP="00F43547" w:rsidRDefault="00F43547" w14:paraId="2A8C7D9C" w14:textId="77777777">
      <w:pPr>
        <w:pStyle w:val="ListParagraph"/>
        <w:numPr>
          <w:ilvl w:val="0"/>
          <w:numId w:val="13"/>
        </w:numPr>
        <w:rPr>
          <w:vanish/>
        </w:rPr>
      </w:pPr>
    </w:p>
    <w:p w:rsidR="00126D8C" w:rsidP="00F43547" w:rsidRDefault="00126D8C" w14:paraId="49C738B7" w14:textId="08D6912F">
      <w:pPr>
        <w:pStyle w:val="ListParagraph"/>
        <w:numPr>
          <w:ilvl w:val="1"/>
          <w:numId w:val="13"/>
        </w:numPr>
      </w:pPr>
      <w:r>
        <w:t>Council is invited to:</w:t>
      </w:r>
    </w:p>
    <w:p w:rsidR="003A0DF8" w:rsidP="003A0DF8" w:rsidRDefault="00126D8C" w14:paraId="34188AD4" w14:textId="77777777">
      <w:pPr>
        <w:pStyle w:val="ListParagraph"/>
        <w:numPr>
          <w:ilvl w:val="0"/>
          <w:numId w:val="8"/>
        </w:numPr>
        <w:spacing w:after="160" w:line="278" w:lineRule="auto"/>
        <w:contextualSpacing/>
      </w:pPr>
      <w:r>
        <w:rPr>
          <w:b/>
          <w:bCs/>
        </w:rPr>
        <w:t>note</w:t>
      </w:r>
      <w:r>
        <w:t xml:space="preserve"> the updates on the Students’ Union </w:t>
      </w:r>
      <w:proofErr w:type="gramStart"/>
      <w:r>
        <w:t>activity;</w:t>
      </w:r>
      <w:proofErr w:type="gramEnd"/>
    </w:p>
    <w:p w:rsidR="000206F2" w:rsidP="003A0DF8" w:rsidRDefault="00126D8C" w14:paraId="01F0189A" w14:textId="07B133B0">
      <w:pPr>
        <w:pStyle w:val="ListParagraph"/>
        <w:numPr>
          <w:ilvl w:val="0"/>
          <w:numId w:val="8"/>
        </w:numPr>
        <w:spacing w:after="160" w:line="278" w:lineRule="auto"/>
        <w:contextualSpacing/>
      </w:pPr>
      <w:r w:rsidRPr="003A0DF8">
        <w:rPr>
          <w:b/>
          <w:bCs/>
        </w:rPr>
        <w:t>discuss</w:t>
      </w:r>
      <w:r>
        <w:t xml:space="preserve"> the impacts of cost-of-living on students, and the ways we can work together to improve the competitive position of the University while pulling students out of poverty.</w:t>
      </w:r>
      <w:bookmarkEnd w:id="0"/>
    </w:p>
    <w:p w:rsidRPr="002C2CAE" w:rsidR="008155B6" w:rsidP="000206F2" w:rsidRDefault="000206F2" w14:paraId="3CA5CF66" w14:textId="53AFBC85">
      <w:pPr>
        <w:spacing w:before="840" w:after="160" w:line="278" w:lineRule="auto"/>
        <w:ind w:left="720"/>
        <w:contextualSpacing/>
        <w:jc w:val="center"/>
      </w:pPr>
      <w:r>
        <w:t>Rory O’Ceallaigh</w:t>
      </w:r>
      <w:r w:rsidRPr="002C2CAE" w:rsidR="008155B6">
        <w:br/>
      </w:r>
      <w:r w:rsidR="00E5309F">
        <w:rPr>
          <w:u w:val="single"/>
        </w:rPr>
        <w:t>LU Students’ Union President</w:t>
      </w:r>
    </w:p>
    <w:p w:rsidRPr="002C2CAE" w:rsidR="008155B6" w:rsidP="008155B6" w:rsidRDefault="00AB7220" w14:paraId="40123FF1" w14:textId="3B296AB5">
      <w:r>
        <w:t>24 September 2025</w:t>
      </w:r>
    </w:p>
    <w:sectPr w:rsidRPr="002C2CAE" w:rsidR="008155B6" w:rsidSect="002460FD">
      <w:footerReference w:type="first" r:id="rId11"/>
      <w:pgSz w:w="11906" w:h="16838" w:orient="portrait"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BB6" w:rsidRDefault="00976BB6" w14:paraId="5C063A45" w14:textId="77777777">
      <w:r>
        <w:separator/>
      </w:r>
    </w:p>
  </w:endnote>
  <w:endnote w:type="continuationSeparator" w:id="0">
    <w:p w:rsidR="00976BB6" w:rsidRDefault="00976BB6" w14:paraId="05ECD3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6AE6" w:rsidR="00E63744" w:rsidP="008320B7" w:rsidRDefault="00E63744" w14:paraId="69183658" w14:textId="4CFC96EF">
    <w:pPr>
      <w:pStyle w:val="Footer"/>
      <w:spacing w:after="0"/>
      <w:rPr>
        <w:b/>
        <w:sz w:val="18"/>
        <w:szCs w:val="18"/>
        <w:lang w:val="en-GB"/>
      </w:rPr>
    </w:pPr>
    <w:r w:rsidRPr="004D6AE6">
      <w:rPr>
        <w:b/>
        <w:sz w:val="18"/>
        <w:szCs w:val="18"/>
        <w:lang w:val="en-GB"/>
      </w:rPr>
      <w:t>SPG/20</w:t>
    </w:r>
    <w:r w:rsidR="005F46CE">
      <w:rPr>
        <w:b/>
        <w:sz w:val="18"/>
        <w:szCs w:val="18"/>
        <w:lang w:val="en-GB"/>
      </w:rPr>
      <w:t>2</w:t>
    </w:r>
    <w:r w:rsidR="002C2CAE">
      <w:rPr>
        <w:b/>
        <w:sz w:val="18"/>
        <w:szCs w:val="18"/>
        <w:lang w:val="en-GB"/>
      </w:rPr>
      <w:t>5</w:t>
    </w:r>
    <w:r w:rsidR="002922D8">
      <w:rPr>
        <w:b/>
        <w:sz w:val="18"/>
        <w:szCs w:val="18"/>
        <w:lang w:val="en-GB"/>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BB6" w:rsidRDefault="00976BB6" w14:paraId="7DF0F964" w14:textId="77777777">
      <w:r>
        <w:separator/>
      </w:r>
    </w:p>
  </w:footnote>
  <w:footnote w:type="continuationSeparator" w:id="0">
    <w:p w:rsidR="00976BB6" w:rsidRDefault="00976BB6" w14:paraId="2ACDD666" w14:textId="77777777">
      <w:r>
        <w:continuationSeparator/>
      </w:r>
    </w:p>
  </w:footnote>
  <w:footnote w:id="1">
    <w:p w:rsidR="00126D8C" w:rsidP="00126D8C" w:rsidRDefault="00126D8C" w14:paraId="5F4522FA" w14:textId="77777777">
      <w:pPr>
        <w:pStyle w:val="FootnoteText"/>
      </w:pPr>
      <w:r>
        <w:rPr>
          <w:rStyle w:val="FootnoteReference"/>
        </w:rPr>
        <w:footnoteRef/>
      </w:r>
      <w:r>
        <w:t xml:space="preserve"> </w:t>
      </w:r>
      <w:r w:rsidRPr="00C31B06">
        <w:t>https://www.hepi.ac.uk/wp-content/uploads/2025/08/A-Minimum-Income-Standard-for-Students-2025.pdf</w:t>
      </w:r>
    </w:p>
  </w:footnote>
  <w:footnote w:id="2">
    <w:p w:rsidR="00126D8C" w:rsidP="00126D8C" w:rsidRDefault="00126D8C" w14:paraId="7A5BA9FB" w14:textId="77777777">
      <w:pPr>
        <w:pStyle w:val="FootnoteText"/>
      </w:pPr>
      <w:r>
        <w:rPr>
          <w:rStyle w:val="FootnoteReference"/>
        </w:rPr>
        <w:footnoteRef/>
      </w:r>
      <w:r>
        <w:t xml:space="preserve"> </w:t>
      </w:r>
      <w:r w:rsidRPr="003C5476">
        <w:t>https://www.savethestudent.org/money/surveys/student-money-survey-2025-results.html</w:t>
      </w:r>
    </w:p>
  </w:footnote>
  <w:footnote w:id="3">
    <w:p w:rsidR="00126D8C" w:rsidP="00126D8C" w:rsidRDefault="00126D8C" w14:paraId="2995083B" w14:textId="77777777">
      <w:pPr>
        <w:pStyle w:val="FootnoteText"/>
      </w:pPr>
      <w:r>
        <w:rPr>
          <w:rStyle w:val="FootnoteReference"/>
        </w:rPr>
        <w:footnoteRef/>
      </w:r>
      <w:r>
        <w:t xml:space="preserve"> </w:t>
      </w:r>
      <w:r w:rsidRPr="00E5538E">
        <w:t>https://www.hepi.ac.uk/reports/student-academic-experience-survey-2025/</w:t>
      </w:r>
    </w:p>
  </w:footnote>
  <w:footnote w:id="4">
    <w:p w:rsidR="00126D8C" w:rsidP="00126D8C" w:rsidRDefault="00126D8C" w14:paraId="556997A0" w14:textId="77777777">
      <w:pPr>
        <w:pStyle w:val="FootnoteText"/>
      </w:pPr>
      <w:r>
        <w:rPr>
          <w:rStyle w:val="FootnoteReference"/>
        </w:rPr>
        <w:footnoteRef/>
      </w:r>
      <w:r>
        <w:t xml:space="preserve"> </w:t>
      </w:r>
      <w:r w:rsidRPr="007B5A43">
        <w:t>https://portal.lancaster.ac.uk/ask/careers/student-jobs-placements-and-internships/find-a-part-time-job-at-lancaster/frequently-asked-questions-about-part-time-employment/</w:t>
      </w:r>
    </w:p>
  </w:footnote>
  <w:footnote w:id="5">
    <w:p w:rsidR="00126D8C" w:rsidP="00126D8C" w:rsidRDefault="00126D8C" w14:paraId="4EEAA6F2" w14:textId="77777777">
      <w:pPr>
        <w:pStyle w:val="FootnoteText"/>
      </w:pPr>
      <w:r>
        <w:rPr>
          <w:rStyle w:val="FootnoteReference"/>
        </w:rPr>
        <w:footnoteRef/>
      </w:r>
      <w:r>
        <w:t xml:space="preserve"> </w:t>
      </w:r>
      <w:r w:rsidRPr="00EC41C4">
        <w:t>https://www.natwest.com/life-moments/students-and-graduates/student-living-index.html</w:t>
      </w:r>
    </w:p>
  </w:footnote>
  <w:footnote w:id="6">
    <w:p w:rsidR="00126D8C" w:rsidP="00126D8C" w:rsidRDefault="00126D8C" w14:paraId="1B13793E" w14:textId="77777777">
      <w:pPr>
        <w:pStyle w:val="FootnoteText"/>
      </w:pPr>
      <w:r>
        <w:rPr>
          <w:rStyle w:val="FootnoteReference"/>
        </w:rPr>
        <w:footnoteRef/>
      </w:r>
      <w:r>
        <w:t xml:space="preserve"> </w:t>
      </w:r>
      <w:r w:rsidRPr="005408B1">
        <w:t>https://www.gov.uk/government/publications/national-review-of-higher-education-student-suicide-deaths</w:t>
      </w:r>
    </w:p>
  </w:footnote>
  <w:footnote w:id="7">
    <w:p w:rsidR="00126D8C" w:rsidP="00126D8C" w:rsidRDefault="00126D8C" w14:paraId="551F0581" w14:textId="77777777">
      <w:pPr>
        <w:pStyle w:val="FootnoteText"/>
      </w:pPr>
      <w:r>
        <w:rPr>
          <w:rStyle w:val="FootnoteReference"/>
        </w:rPr>
        <w:footnoteRef/>
      </w:r>
      <w:r>
        <w:t xml:space="preserve"> </w:t>
      </w:r>
      <w:r w:rsidRPr="00CC4992">
        <w:t>https://wonkhe.com/blogs/how-cost-of-living-is-influencing-uk-student-mobility/</w:t>
      </w:r>
    </w:p>
  </w:footnote>
  <w:footnote w:id="17580">
    <w:p w:rsidR="636DA947" w:rsidP="636DA947" w:rsidRDefault="636DA947" w14:paraId="15A771CF" w14:textId="1CD9F7EB">
      <w:pPr>
        <w:pStyle w:val="FootnoteText"/>
        <w:bidi w:val="0"/>
      </w:pPr>
      <w:r w:rsidRPr="636DA947">
        <w:rPr>
          <w:rStyle w:val="FootnoteReference"/>
        </w:rPr>
        <w:footnoteRef/>
      </w:r>
      <w:r w:rsidR="636DA947">
        <w:rPr/>
        <w:t xml:space="preserve"> </w:t>
      </w:r>
    </w:p>
  </w:footnote>
  <w:footnote w:id="16195">
    <w:p w:rsidR="636DA947" w:rsidP="636DA947" w:rsidRDefault="636DA947" w14:paraId="1F01ED01" w14:textId="7517BA20">
      <w:pPr>
        <w:pStyle w:val="FootnoteText"/>
        <w:bidi w:val="0"/>
      </w:pPr>
      <w:r w:rsidRPr="636DA947">
        <w:rPr>
          <w:rStyle w:val="FootnoteReference"/>
        </w:rPr>
        <w:footnoteRef/>
      </w:r>
      <w:r w:rsidR="636DA947">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9F4"/>
    <w:multiLevelType w:val="hybridMultilevel"/>
    <w:tmpl w:val="B1E6313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D3C7082"/>
    <w:multiLevelType w:val="hybridMultilevel"/>
    <w:tmpl w:val="133085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7E50AE"/>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7608B2"/>
    <w:multiLevelType w:val="multilevel"/>
    <w:tmpl w:val="9B3846DC"/>
    <w:lvl w:ilvl="0">
      <w:start w:val="1"/>
      <w:numFmt w:val="bullet"/>
      <w:lvlText w:val=""/>
      <w:lvlJc w:val="left"/>
      <w:pPr>
        <w:ind w:left="360" w:hanging="360"/>
      </w:pPr>
      <w:rPr>
        <w:rFonts w:hint="default" w:ascii="Symbol" w:hAnsi="Symbol"/>
        <w:color w:val="000000"/>
      </w:rPr>
    </w:lvl>
    <w:lvl w:ilvl="1">
      <w:start w:val="1"/>
      <w:numFmt w:val="bullet"/>
      <w:lvlText w:val=""/>
      <w:lvlJc w:val="left"/>
      <w:pPr>
        <w:ind w:left="360" w:hanging="360"/>
      </w:pPr>
      <w:rPr>
        <w:rFonts w:hint="default" w:ascii="Symbol" w:hAnsi="Symbol"/>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C5022"/>
    <w:multiLevelType w:val="hybridMultilevel"/>
    <w:tmpl w:val="F85227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8E707CE"/>
    <w:multiLevelType w:val="multilevel"/>
    <w:tmpl w:val="59FEE0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hint="default" w:ascii="Symbol" w:hAnsi="Symbol"/>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7F3A77"/>
    <w:multiLevelType w:val="hybridMultilevel"/>
    <w:tmpl w:val="59D6FFFA"/>
    <w:lvl w:ilvl="0" w:tplc="A1525522">
      <w:start w:val="1"/>
      <w:numFmt w:val="decimal"/>
      <w:lvlText w:val="%1."/>
      <w:lvlJc w:val="left"/>
      <w:pPr>
        <w:ind w:left="1080" w:hanging="72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933DE"/>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9F1CD5"/>
    <w:multiLevelType w:val="hybridMultilevel"/>
    <w:tmpl w:val="A740C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DD577F"/>
    <w:multiLevelType w:val="multilevel"/>
    <w:tmpl w:val="5AAE5BA2"/>
    <w:numStyleLink w:val="Style2"/>
  </w:abstractNum>
  <w:abstractNum w:abstractNumId="10" w15:restartNumberingAfterBreak="0">
    <w:nsid w:val="2D136755"/>
    <w:multiLevelType w:val="hybridMultilevel"/>
    <w:tmpl w:val="FCF87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11347F"/>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35643B"/>
    <w:multiLevelType w:val="hybridMultilevel"/>
    <w:tmpl w:val="E16CA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86B69"/>
    <w:multiLevelType w:val="hybridMultilevel"/>
    <w:tmpl w:val="CF94E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A67EE2"/>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A303B4"/>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535931"/>
    <w:multiLevelType w:val="multilevel"/>
    <w:tmpl w:val="5AAE5BA2"/>
    <w:styleLink w:val="Style2"/>
    <w:lvl w:ilvl="0">
      <w:start w:val="1"/>
      <w:numFmt w:val="bullet"/>
      <w:lvlText w:val=""/>
      <w:lvlJc w:val="left"/>
      <w:pPr>
        <w:ind w:left="1080" w:hanging="360"/>
      </w:pPr>
      <w:rPr>
        <w:rFonts w:hint="default" w:ascii="Symbol" w:hAnsi="Symbol"/>
      </w:rPr>
    </w:lvl>
    <w:lvl w:ilvl="1">
      <w:start w:val="1"/>
      <w:numFmt w:val="bullet"/>
      <w:lvlText w:val="o"/>
      <w:lvlJc w:val="left"/>
      <w:pPr>
        <w:ind w:left="2232" w:hanging="360"/>
      </w:pPr>
      <w:rPr>
        <w:rFonts w:hint="default" w:ascii="Courier New" w:hAnsi="Courier New" w:cs="Courier New"/>
      </w:rPr>
    </w:lvl>
    <w:lvl w:ilvl="2">
      <w:start w:val="1"/>
      <w:numFmt w:val="bullet"/>
      <w:lvlText w:val=""/>
      <w:lvlJc w:val="left"/>
      <w:pPr>
        <w:ind w:left="2952" w:hanging="360"/>
      </w:pPr>
      <w:rPr>
        <w:rFonts w:hint="default" w:ascii="Wingdings" w:hAnsi="Wingdings"/>
      </w:rPr>
    </w:lvl>
    <w:lvl w:ilvl="3">
      <w:start w:val="1"/>
      <w:numFmt w:val="bullet"/>
      <w:lvlText w:val=""/>
      <w:lvlJc w:val="left"/>
      <w:pPr>
        <w:ind w:left="3672" w:hanging="360"/>
      </w:pPr>
      <w:rPr>
        <w:rFonts w:hint="default" w:ascii="Symbol" w:hAnsi="Symbol"/>
      </w:rPr>
    </w:lvl>
    <w:lvl w:ilvl="4">
      <w:start w:val="1"/>
      <w:numFmt w:val="bullet"/>
      <w:lvlText w:val="o"/>
      <w:lvlJc w:val="left"/>
      <w:pPr>
        <w:ind w:left="4392" w:hanging="360"/>
      </w:pPr>
      <w:rPr>
        <w:rFonts w:hint="default" w:ascii="Courier New" w:hAnsi="Courier New" w:cs="Courier New"/>
      </w:rPr>
    </w:lvl>
    <w:lvl w:ilvl="5">
      <w:start w:val="1"/>
      <w:numFmt w:val="bullet"/>
      <w:lvlText w:val=""/>
      <w:lvlJc w:val="left"/>
      <w:pPr>
        <w:ind w:left="5112" w:hanging="360"/>
      </w:pPr>
      <w:rPr>
        <w:rFonts w:hint="default" w:ascii="Wingdings" w:hAnsi="Wingdings"/>
      </w:rPr>
    </w:lvl>
    <w:lvl w:ilvl="6">
      <w:start w:val="1"/>
      <w:numFmt w:val="bullet"/>
      <w:lvlText w:val=""/>
      <w:lvlJc w:val="left"/>
      <w:pPr>
        <w:ind w:left="5832" w:hanging="360"/>
      </w:pPr>
      <w:rPr>
        <w:rFonts w:hint="default" w:ascii="Symbol" w:hAnsi="Symbol"/>
      </w:rPr>
    </w:lvl>
    <w:lvl w:ilvl="7">
      <w:start w:val="1"/>
      <w:numFmt w:val="bullet"/>
      <w:lvlText w:val="o"/>
      <w:lvlJc w:val="left"/>
      <w:pPr>
        <w:ind w:left="6552" w:hanging="360"/>
      </w:pPr>
      <w:rPr>
        <w:rFonts w:hint="default" w:ascii="Courier New" w:hAnsi="Courier New" w:cs="Courier New"/>
      </w:rPr>
    </w:lvl>
    <w:lvl w:ilvl="8">
      <w:start w:val="1"/>
      <w:numFmt w:val="bullet"/>
      <w:lvlText w:val=""/>
      <w:lvlJc w:val="left"/>
      <w:pPr>
        <w:ind w:left="7272" w:hanging="360"/>
      </w:pPr>
      <w:rPr>
        <w:rFonts w:hint="default" w:ascii="Wingdings" w:hAnsi="Wingdings"/>
      </w:rPr>
    </w:lvl>
  </w:abstractNum>
  <w:abstractNum w:abstractNumId="17" w15:restartNumberingAfterBreak="0">
    <w:nsid w:val="77762B4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7B815C1E"/>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966C98"/>
    <w:multiLevelType w:val="multilevel"/>
    <w:tmpl w:val="6EB0E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0810918">
    <w:abstractNumId w:val="5"/>
  </w:num>
  <w:num w:numId="2" w16cid:durableId="1865705393">
    <w:abstractNumId w:val="4"/>
  </w:num>
  <w:num w:numId="3" w16cid:durableId="909198925">
    <w:abstractNumId w:val="3"/>
  </w:num>
  <w:num w:numId="4" w16cid:durableId="687413297">
    <w:abstractNumId w:val="13"/>
  </w:num>
  <w:num w:numId="5" w16cid:durableId="1262493604">
    <w:abstractNumId w:val="8"/>
  </w:num>
  <w:num w:numId="6" w16cid:durableId="481432341">
    <w:abstractNumId w:val="10"/>
  </w:num>
  <w:num w:numId="7" w16cid:durableId="193463868">
    <w:abstractNumId w:val="6"/>
  </w:num>
  <w:num w:numId="8" w16cid:durableId="1171336187">
    <w:abstractNumId w:val="0"/>
  </w:num>
  <w:num w:numId="9" w16cid:durableId="1723675419">
    <w:abstractNumId w:val="16"/>
  </w:num>
  <w:num w:numId="10" w16cid:durableId="1129055582">
    <w:abstractNumId w:val="9"/>
  </w:num>
  <w:num w:numId="11" w16cid:durableId="541400458">
    <w:abstractNumId w:val="17"/>
  </w:num>
  <w:num w:numId="12" w16cid:durableId="1432777016">
    <w:abstractNumId w:val="12"/>
  </w:num>
  <w:num w:numId="13" w16cid:durableId="644311080">
    <w:abstractNumId w:val="18"/>
  </w:num>
  <w:num w:numId="14" w16cid:durableId="1470512667">
    <w:abstractNumId w:val="15"/>
  </w:num>
  <w:num w:numId="15" w16cid:durableId="1602880541">
    <w:abstractNumId w:val="19"/>
  </w:num>
  <w:num w:numId="16" w16cid:durableId="1783570562">
    <w:abstractNumId w:val="14"/>
  </w:num>
  <w:num w:numId="17" w16cid:durableId="1966807348">
    <w:abstractNumId w:val="2"/>
  </w:num>
  <w:num w:numId="18" w16cid:durableId="1340111557">
    <w:abstractNumId w:val="11"/>
  </w:num>
  <w:num w:numId="19" w16cid:durableId="1692610336">
    <w:abstractNumId w:val="7"/>
  </w:num>
  <w:num w:numId="20" w16cid:durableId="4396432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13"/>
    <w:rsid w:val="000206F2"/>
    <w:rsid w:val="00024A2C"/>
    <w:rsid w:val="0003040A"/>
    <w:rsid w:val="00034E15"/>
    <w:rsid w:val="00054185"/>
    <w:rsid w:val="00064CD9"/>
    <w:rsid w:val="00064E1E"/>
    <w:rsid w:val="000957FC"/>
    <w:rsid w:val="000A070D"/>
    <w:rsid w:val="000A1E60"/>
    <w:rsid w:val="000A36D5"/>
    <w:rsid w:val="000A3B6F"/>
    <w:rsid w:val="000C6191"/>
    <w:rsid w:val="000D73CD"/>
    <w:rsid w:val="000E4BEB"/>
    <w:rsid w:val="000F5424"/>
    <w:rsid w:val="001170E7"/>
    <w:rsid w:val="00126D8C"/>
    <w:rsid w:val="0014181B"/>
    <w:rsid w:val="001642A9"/>
    <w:rsid w:val="001646DC"/>
    <w:rsid w:val="00171FC7"/>
    <w:rsid w:val="001738A6"/>
    <w:rsid w:val="00173C93"/>
    <w:rsid w:val="00196275"/>
    <w:rsid w:val="001A32B5"/>
    <w:rsid w:val="001B27DB"/>
    <w:rsid w:val="001B2FCA"/>
    <w:rsid w:val="001C36E2"/>
    <w:rsid w:val="001D6E2D"/>
    <w:rsid w:val="001E198E"/>
    <w:rsid w:val="001E529B"/>
    <w:rsid w:val="001F3196"/>
    <w:rsid w:val="00216331"/>
    <w:rsid w:val="002200C9"/>
    <w:rsid w:val="002333D1"/>
    <w:rsid w:val="002429F3"/>
    <w:rsid w:val="002460FD"/>
    <w:rsid w:val="00260D6F"/>
    <w:rsid w:val="002922D8"/>
    <w:rsid w:val="002977A2"/>
    <w:rsid w:val="002A71D7"/>
    <w:rsid w:val="002B740E"/>
    <w:rsid w:val="002C2CAE"/>
    <w:rsid w:val="002C3943"/>
    <w:rsid w:val="002C5BC3"/>
    <w:rsid w:val="002C7868"/>
    <w:rsid w:val="002D0EF9"/>
    <w:rsid w:val="002D46D0"/>
    <w:rsid w:val="002D4FCE"/>
    <w:rsid w:val="002D7AE4"/>
    <w:rsid w:val="002E0688"/>
    <w:rsid w:val="002E449E"/>
    <w:rsid w:val="002F352A"/>
    <w:rsid w:val="002F5867"/>
    <w:rsid w:val="002F6F13"/>
    <w:rsid w:val="003028BE"/>
    <w:rsid w:val="0033116F"/>
    <w:rsid w:val="00340E9E"/>
    <w:rsid w:val="0034450A"/>
    <w:rsid w:val="00352C48"/>
    <w:rsid w:val="00363EE2"/>
    <w:rsid w:val="00366886"/>
    <w:rsid w:val="00370990"/>
    <w:rsid w:val="00373F04"/>
    <w:rsid w:val="00375D68"/>
    <w:rsid w:val="00386DD7"/>
    <w:rsid w:val="003948FB"/>
    <w:rsid w:val="00397231"/>
    <w:rsid w:val="003A0DF8"/>
    <w:rsid w:val="003A5031"/>
    <w:rsid w:val="003A5E6E"/>
    <w:rsid w:val="003B4869"/>
    <w:rsid w:val="003B6288"/>
    <w:rsid w:val="003C62F7"/>
    <w:rsid w:val="003D0764"/>
    <w:rsid w:val="003D400A"/>
    <w:rsid w:val="003F1EE9"/>
    <w:rsid w:val="003F75EB"/>
    <w:rsid w:val="0040172A"/>
    <w:rsid w:val="004048CC"/>
    <w:rsid w:val="0041468B"/>
    <w:rsid w:val="004158CA"/>
    <w:rsid w:val="004160BA"/>
    <w:rsid w:val="004419D8"/>
    <w:rsid w:val="00447B44"/>
    <w:rsid w:val="0045790F"/>
    <w:rsid w:val="00462894"/>
    <w:rsid w:val="004653AA"/>
    <w:rsid w:val="00466889"/>
    <w:rsid w:val="004924CD"/>
    <w:rsid w:val="004A32D7"/>
    <w:rsid w:val="004C1DF2"/>
    <w:rsid w:val="004C39AB"/>
    <w:rsid w:val="004C5A8B"/>
    <w:rsid w:val="004D32FB"/>
    <w:rsid w:val="004D6AE6"/>
    <w:rsid w:val="004E1AB8"/>
    <w:rsid w:val="00504665"/>
    <w:rsid w:val="005245D7"/>
    <w:rsid w:val="00530F5E"/>
    <w:rsid w:val="00531F15"/>
    <w:rsid w:val="0053580C"/>
    <w:rsid w:val="005361CA"/>
    <w:rsid w:val="00537952"/>
    <w:rsid w:val="00551BF0"/>
    <w:rsid w:val="00552591"/>
    <w:rsid w:val="00557994"/>
    <w:rsid w:val="00573555"/>
    <w:rsid w:val="00574D11"/>
    <w:rsid w:val="00576461"/>
    <w:rsid w:val="00576DEC"/>
    <w:rsid w:val="005928A8"/>
    <w:rsid w:val="005B7B7D"/>
    <w:rsid w:val="005C3917"/>
    <w:rsid w:val="005E6D3A"/>
    <w:rsid w:val="005F46CE"/>
    <w:rsid w:val="00602474"/>
    <w:rsid w:val="00613700"/>
    <w:rsid w:val="00613CD4"/>
    <w:rsid w:val="0061790D"/>
    <w:rsid w:val="006254FD"/>
    <w:rsid w:val="0063168C"/>
    <w:rsid w:val="00636209"/>
    <w:rsid w:val="00643492"/>
    <w:rsid w:val="00650BAC"/>
    <w:rsid w:val="0068767B"/>
    <w:rsid w:val="006A1037"/>
    <w:rsid w:val="006A7171"/>
    <w:rsid w:val="006F5AEA"/>
    <w:rsid w:val="006F750D"/>
    <w:rsid w:val="00701756"/>
    <w:rsid w:val="0070627B"/>
    <w:rsid w:val="007251C4"/>
    <w:rsid w:val="0073667A"/>
    <w:rsid w:val="00743F16"/>
    <w:rsid w:val="00744212"/>
    <w:rsid w:val="00754A81"/>
    <w:rsid w:val="0075762D"/>
    <w:rsid w:val="00760B11"/>
    <w:rsid w:val="0077048F"/>
    <w:rsid w:val="00777B34"/>
    <w:rsid w:val="0078007C"/>
    <w:rsid w:val="0078235E"/>
    <w:rsid w:val="00796B48"/>
    <w:rsid w:val="007A3E9F"/>
    <w:rsid w:val="007B1C83"/>
    <w:rsid w:val="007B49DA"/>
    <w:rsid w:val="007D484A"/>
    <w:rsid w:val="007F0D33"/>
    <w:rsid w:val="007F1A17"/>
    <w:rsid w:val="007F1A1A"/>
    <w:rsid w:val="007F40EF"/>
    <w:rsid w:val="007F5DB4"/>
    <w:rsid w:val="00800E94"/>
    <w:rsid w:val="00804147"/>
    <w:rsid w:val="00810983"/>
    <w:rsid w:val="008155B6"/>
    <w:rsid w:val="008320B7"/>
    <w:rsid w:val="00846485"/>
    <w:rsid w:val="008537E3"/>
    <w:rsid w:val="00857DE1"/>
    <w:rsid w:val="008673BE"/>
    <w:rsid w:val="008745EC"/>
    <w:rsid w:val="00881350"/>
    <w:rsid w:val="00894432"/>
    <w:rsid w:val="008A2836"/>
    <w:rsid w:val="008A411A"/>
    <w:rsid w:val="008A620A"/>
    <w:rsid w:val="008B081B"/>
    <w:rsid w:val="0090108A"/>
    <w:rsid w:val="00902893"/>
    <w:rsid w:val="00907AC6"/>
    <w:rsid w:val="0091311E"/>
    <w:rsid w:val="00926A43"/>
    <w:rsid w:val="00933CCE"/>
    <w:rsid w:val="00963359"/>
    <w:rsid w:val="00965241"/>
    <w:rsid w:val="00973536"/>
    <w:rsid w:val="00975B13"/>
    <w:rsid w:val="009768F9"/>
    <w:rsid w:val="00976BB6"/>
    <w:rsid w:val="00977585"/>
    <w:rsid w:val="009905F8"/>
    <w:rsid w:val="009908D9"/>
    <w:rsid w:val="00993D5B"/>
    <w:rsid w:val="009B5AC3"/>
    <w:rsid w:val="009D6F9F"/>
    <w:rsid w:val="009F2DA0"/>
    <w:rsid w:val="00A05037"/>
    <w:rsid w:val="00A10B32"/>
    <w:rsid w:val="00A20D87"/>
    <w:rsid w:val="00A24BB5"/>
    <w:rsid w:val="00A262D4"/>
    <w:rsid w:val="00A4331A"/>
    <w:rsid w:val="00A54C87"/>
    <w:rsid w:val="00A5785F"/>
    <w:rsid w:val="00A633EC"/>
    <w:rsid w:val="00A67C6A"/>
    <w:rsid w:val="00A91052"/>
    <w:rsid w:val="00AA4114"/>
    <w:rsid w:val="00AB54B6"/>
    <w:rsid w:val="00AB7220"/>
    <w:rsid w:val="00AC7693"/>
    <w:rsid w:val="00AD40A2"/>
    <w:rsid w:val="00AE07F7"/>
    <w:rsid w:val="00AE2E9C"/>
    <w:rsid w:val="00AE6656"/>
    <w:rsid w:val="00AF527F"/>
    <w:rsid w:val="00AF7A1D"/>
    <w:rsid w:val="00B05307"/>
    <w:rsid w:val="00B0676C"/>
    <w:rsid w:val="00B307D2"/>
    <w:rsid w:val="00B52BB0"/>
    <w:rsid w:val="00B603EF"/>
    <w:rsid w:val="00B613D8"/>
    <w:rsid w:val="00B63558"/>
    <w:rsid w:val="00B70BF1"/>
    <w:rsid w:val="00B73D01"/>
    <w:rsid w:val="00B74A4B"/>
    <w:rsid w:val="00B81E93"/>
    <w:rsid w:val="00B820BD"/>
    <w:rsid w:val="00B97C62"/>
    <w:rsid w:val="00BA0334"/>
    <w:rsid w:val="00BB76E0"/>
    <w:rsid w:val="00BC05D8"/>
    <w:rsid w:val="00BC6656"/>
    <w:rsid w:val="00BD0A68"/>
    <w:rsid w:val="00BD2CE2"/>
    <w:rsid w:val="00BD4A7B"/>
    <w:rsid w:val="00C00B2D"/>
    <w:rsid w:val="00C03C97"/>
    <w:rsid w:val="00C05262"/>
    <w:rsid w:val="00C1009E"/>
    <w:rsid w:val="00C10F2B"/>
    <w:rsid w:val="00C16679"/>
    <w:rsid w:val="00C179C2"/>
    <w:rsid w:val="00C24ACE"/>
    <w:rsid w:val="00C2562D"/>
    <w:rsid w:val="00C329B6"/>
    <w:rsid w:val="00C50F99"/>
    <w:rsid w:val="00C55245"/>
    <w:rsid w:val="00C613C3"/>
    <w:rsid w:val="00C65104"/>
    <w:rsid w:val="00C67481"/>
    <w:rsid w:val="00C70CC5"/>
    <w:rsid w:val="00C721E1"/>
    <w:rsid w:val="00C77132"/>
    <w:rsid w:val="00C77A7A"/>
    <w:rsid w:val="00CA0748"/>
    <w:rsid w:val="00CA562F"/>
    <w:rsid w:val="00CA6616"/>
    <w:rsid w:val="00CB7089"/>
    <w:rsid w:val="00CC3239"/>
    <w:rsid w:val="00CD0A40"/>
    <w:rsid w:val="00CD738E"/>
    <w:rsid w:val="00CF3674"/>
    <w:rsid w:val="00CF3CAD"/>
    <w:rsid w:val="00D05842"/>
    <w:rsid w:val="00D12249"/>
    <w:rsid w:val="00D137AC"/>
    <w:rsid w:val="00D14E46"/>
    <w:rsid w:val="00D16D29"/>
    <w:rsid w:val="00D241E5"/>
    <w:rsid w:val="00D30545"/>
    <w:rsid w:val="00D46883"/>
    <w:rsid w:val="00D52BF6"/>
    <w:rsid w:val="00D60DFB"/>
    <w:rsid w:val="00D61B68"/>
    <w:rsid w:val="00D73ABD"/>
    <w:rsid w:val="00D7775A"/>
    <w:rsid w:val="00DA26CF"/>
    <w:rsid w:val="00DC1E39"/>
    <w:rsid w:val="00DC1E40"/>
    <w:rsid w:val="00DC725B"/>
    <w:rsid w:val="00DD1848"/>
    <w:rsid w:val="00DD1AB9"/>
    <w:rsid w:val="00E06A66"/>
    <w:rsid w:val="00E214A6"/>
    <w:rsid w:val="00E23839"/>
    <w:rsid w:val="00E31386"/>
    <w:rsid w:val="00E34A85"/>
    <w:rsid w:val="00E5309F"/>
    <w:rsid w:val="00E63744"/>
    <w:rsid w:val="00E708A1"/>
    <w:rsid w:val="00E9528B"/>
    <w:rsid w:val="00E952B0"/>
    <w:rsid w:val="00E96B9A"/>
    <w:rsid w:val="00EA038E"/>
    <w:rsid w:val="00EA0621"/>
    <w:rsid w:val="00EB4375"/>
    <w:rsid w:val="00EC10E5"/>
    <w:rsid w:val="00EC57D5"/>
    <w:rsid w:val="00EC6A8C"/>
    <w:rsid w:val="00ED0CA3"/>
    <w:rsid w:val="00EE2208"/>
    <w:rsid w:val="00EE3F76"/>
    <w:rsid w:val="00EE7863"/>
    <w:rsid w:val="00EF4530"/>
    <w:rsid w:val="00F0417B"/>
    <w:rsid w:val="00F04B25"/>
    <w:rsid w:val="00F23DCE"/>
    <w:rsid w:val="00F24FEA"/>
    <w:rsid w:val="00F25D08"/>
    <w:rsid w:val="00F3490E"/>
    <w:rsid w:val="00F35E0A"/>
    <w:rsid w:val="00F43547"/>
    <w:rsid w:val="00F44927"/>
    <w:rsid w:val="00F516F9"/>
    <w:rsid w:val="00F6255F"/>
    <w:rsid w:val="00F7412F"/>
    <w:rsid w:val="00F76831"/>
    <w:rsid w:val="00F76DFE"/>
    <w:rsid w:val="00FA1F5B"/>
    <w:rsid w:val="00FB4A90"/>
    <w:rsid w:val="00FB7E41"/>
    <w:rsid w:val="00FC18DD"/>
    <w:rsid w:val="00FE2840"/>
    <w:rsid w:val="00FE4B24"/>
    <w:rsid w:val="00FF2C5D"/>
    <w:rsid w:val="00FF2EB8"/>
    <w:rsid w:val="00FF4FC5"/>
    <w:rsid w:val="636DA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3B8C"/>
  <w15:chartTrackingRefBased/>
  <w15:docId w15:val="{63F2052B-2E6C-4785-948A-204CC112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7481"/>
    <w:pPr>
      <w:spacing w:after="240"/>
    </w:pPr>
    <w:rPr>
      <w:rFonts w:eastAsia="Times New Roman"/>
      <w:sz w:val="24"/>
      <w:szCs w:val="24"/>
      <w:lang w:eastAsia="en-US"/>
    </w:rPr>
  </w:style>
  <w:style w:type="paragraph" w:styleId="Heading1">
    <w:name w:val="heading 1"/>
    <w:basedOn w:val="Normal"/>
    <w:next w:val="Normal"/>
    <w:link w:val="Heading1Char"/>
    <w:uiPriority w:val="9"/>
    <w:qFormat/>
    <w:rsid w:val="00C67481"/>
    <w:pPr>
      <w:keepNext/>
      <w:outlineLvl w:val="0"/>
    </w:pPr>
    <w:rPr>
      <w:b/>
      <w:bCs/>
      <w:kern w:val="32"/>
      <w:sz w:val="28"/>
      <w:szCs w:val="32"/>
    </w:rPr>
  </w:style>
  <w:style w:type="paragraph" w:styleId="Heading2">
    <w:name w:val="heading 2"/>
    <w:basedOn w:val="Normal"/>
    <w:next w:val="Normal"/>
    <w:link w:val="Heading2Char"/>
    <w:uiPriority w:val="9"/>
    <w:unhideWhenUsed/>
    <w:qFormat/>
    <w:rsid w:val="00C67481"/>
    <w:pPr>
      <w:keepNext/>
      <w:outlineLvl w:val="1"/>
    </w:pPr>
    <w:rPr>
      <w:b/>
      <w:bCs/>
      <w:iCs/>
      <w:szCs w:val="28"/>
    </w:rPr>
  </w:style>
  <w:style w:type="paragraph" w:styleId="Heading3">
    <w:name w:val="heading 3"/>
    <w:basedOn w:val="Normal"/>
    <w:next w:val="Normal"/>
    <w:link w:val="Heading3Char"/>
    <w:uiPriority w:val="9"/>
    <w:unhideWhenUsed/>
    <w:qFormat/>
    <w:rsid w:val="00C67481"/>
    <w:pPr>
      <w:keepNext/>
      <w:outlineLvl w:val="2"/>
    </w:pPr>
    <w:rPr>
      <w:bCs/>
      <w:i/>
      <w:szCs w:val="26"/>
    </w:rPr>
  </w:style>
  <w:style w:type="paragraph" w:styleId="Heading4">
    <w:name w:val="heading 4"/>
    <w:basedOn w:val="Normal"/>
    <w:next w:val="Normal"/>
    <w:link w:val="Heading4Char"/>
    <w:uiPriority w:val="9"/>
    <w:semiHidden/>
    <w:unhideWhenUsed/>
    <w:qFormat/>
    <w:rsid w:val="00C67481"/>
    <w:pPr>
      <w:keepNext/>
      <w:keepLines/>
      <w:outlineLvl w:val="3"/>
    </w:pPr>
    <w:rPr>
      <w:rFonts w:eastAsiaTheme="majorEastAsia" w:cstheme="majorBidi"/>
      <w:iCs/>
      <w:color w:val="000000" w:themeColor="text1"/>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2F6F13"/>
    <w:pPr>
      <w:tabs>
        <w:tab w:val="center" w:pos="4513"/>
        <w:tab w:val="right" w:pos="9026"/>
      </w:tabs>
    </w:pPr>
    <w:rPr>
      <w:lang w:val="x-none"/>
    </w:rPr>
  </w:style>
  <w:style w:type="character" w:styleId="FooterChar" w:customStyle="1">
    <w:name w:val="Footer Char"/>
    <w:link w:val="Footer"/>
    <w:uiPriority w:val="99"/>
    <w:rsid w:val="002F6F13"/>
    <w:rPr>
      <w:rFonts w:ascii="Times New Roman" w:hAnsi="Times New Roman" w:eastAsia="Times New Roman" w:cs="Times New Roman"/>
      <w:sz w:val="24"/>
      <w:szCs w:val="24"/>
      <w:lang w:val="x-none"/>
    </w:rPr>
  </w:style>
  <w:style w:type="paragraph" w:styleId="ListParagraph">
    <w:name w:val="List Paragraph"/>
    <w:basedOn w:val="Normal"/>
    <w:uiPriority w:val="34"/>
    <w:qFormat/>
    <w:rsid w:val="00C67481"/>
    <w:pPr>
      <w:spacing w:after="0"/>
      <w:ind w:left="720"/>
    </w:pPr>
    <w:rPr>
      <w:rFonts w:eastAsia="Calibri"/>
      <w:color w:val="000000" w:themeColor="text1"/>
      <w:szCs w:val="22"/>
    </w:rPr>
  </w:style>
  <w:style w:type="character" w:styleId="CommentReference">
    <w:name w:val="annotation reference"/>
    <w:uiPriority w:val="99"/>
    <w:semiHidden/>
    <w:unhideWhenUsed/>
    <w:rsid w:val="00FB7E41"/>
    <w:rPr>
      <w:sz w:val="16"/>
      <w:szCs w:val="16"/>
    </w:rPr>
  </w:style>
  <w:style w:type="paragraph" w:styleId="CommentText">
    <w:name w:val="annotation text"/>
    <w:basedOn w:val="Normal"/>
    <w:link w:val="CommentTextChar"/>
    <w:uiPriority w:val="99"/>
    <w:semiHidden/>
    <w:unhideWhenUsed/>
    <w:rsid w:val="00FB7E41"/>
    <w:rPr>
      <w:sz w:val="20"/>
      <w:szCs w:val="20"/>
    </w:rPr>
  </w:style>
  <w:style w:type="character" w:styleId="CommentTextChar" w:customStyle="1">
    <w:name w:val="Comment Text Char"/>
    <w:link w:val="CommentText"/>
    <w:uiPriority w:val="99"/>
    <w:semiHidden/>
    <w:rsid w:val="00FB7E4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E41"/>
    <w:rPr>
      <w:b/>
      <w:bCs/>
    </w:rPr>
  </w:style>
  <w:style w:type="character" w:styleId="CommentSubjectChar" w:customStyle="1">
    <w:name w:val="Comment Subject Char"/>
    <w:link w:val="CommentSubject"/>
    <w:uiPriority w:val="99"/>
    <w:semiHidden/>
    <w:rsid w:val="00FB7E41"/>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FB7E41"/>
    <w:rPr>
      <w:rFonts w:ascii="Tahoma" w:hAnsi="Tahoma" w:cs="Tahoma"/>
      <w:sz w:val="16"/>
      <w:szCs w:val="16"/>
    </w:rPr>
  </w:style>
  <w:style w:type="character" w:styleId="BalloonTextChar" w:customStyle="1">
    <w:name w:val="Balloon Text Char"/>
    <w:link w:val="BalloonText"/>
    <w:uiPriority w:val="99"/>
    <w:semiHidden/>
    <w:rsid w:val="00FB7E41"/>
    <w:rPr>
      <w:rFonts w:ascii="Tahoma" w:hAnsi="Tahoma" w:eastAsia="Times New Roman" w:cs="Tahoma"/>
      <w:sz w:val="16"/>
      <w:szCs w:val="16"/>
    </w:rPr>
  </w:style>
  <w:style w:type="paragraph" w:styleId="Header">
    <w:name w:val="header"/>
    <w:basedOn w:val="Normal"/>
    <w:link w:val="HeaderChar"/>
    <w:uiPriority w:val="99"/>
    <w:unhideWhenUsed/>
    <w:rsid w:val="00DC1E39"/>
    <w:pPr>
      <w:tabs>
        <w:tab w:val="center" w:pos="4513"/>
        <w:tab w:val="right" w:pos="9026"/>
      </w:tabs>
    </w:pPr>
  </w:style>
  <w:style w:type="character" w:styleId="HeaderChar" w:customStyle="1">
    <w:name w:val="Header Char"/>
    <w:link w:val="Header"/>
    <w:uiPriority w:val="99"/>
    <w:rsid w:val="00DC1E39"/>
    <w:rPr>
      <w:rFonts w:ascii="Times New Roman" w:hAnsi="Times New Roman" w:eastAsia="Times New Roman" w:cs="Times New Roman"/>
      <w:sz w:val="24"/>
      <w:szCs w:val="24"/>
    </w:rPr>
  </w:style>
  <w:style w:type="character" w:styleId="Heading1Char" w:customStyle="1">
    <w:name w:val="Heading 1 Char"/>
    <w:link w:val="Heading1"/>
    <w:uiPriority w:val="9"/>
    <w:rsid w:val="00C67481"/>
    <w:rPr>
      <w:rFonts w:eastAsia="Times New Roman"/>
      <w:b/>
      <w:bCs/>
      <w:kern w:val="32"/>
      <w:sz w:val="28"/>
      <w:szCs w:val="32"/>
      <w:lang w:eastAsia="en-US"/>
    </w:rPr>
  </w:style>
  <w:style w:type="character" w:styleId="Heading2Char" w:customStyle="1">
    <w:name w:val="Heading 2 Char"/>
    <w:link w:val="Heading2"/>
    <w:uiPriority w:val="9"/>
    <w:rsid w:val="00C67481"/>
    <w:rPr>
      <w:rFonts w:eastAsia="Times New Roman"/>
      <w:b/>
      <w:bCs/>
      <w:iCs/>
      <w:sz w:val="24"/>
      <w:szCs w:val="28"/>
      <w:lang w:eastAsia="en-US"/>
    </w:rPr>
  </w:style>
  <w:style w:type="character" w:styleId="Heading3Char" w:customStyle="1">
    <w:name w:val="Heading 3 Char"/>
    <w:link w:val="Heading3"/>
    <w:uiPriority w:val="9"/>
    <w:rsid w:val="00C67481"/>
    <w:rPr>
      <w:rFonts w:eastAsia="Times New Roman"/>
      <w:bCs/>
      <w:i/>
      <w:sz w:val="24"/>
      <w:szCs w:val="26"/>
      <w:lang w:eastAsia="en-US"/>
    </w:rPr>
  </w:style>
  <w:style w:type="character" w:styleId="Hyperlink">
    <w:name w:val="Hyperlink"/>
    <w:uiPriority w:val="99"/>
    <w:unhideWhenUsed/>
    <w:rsid w:val="00602474"/>
    <w:rPr>
      <w:color w:val="0563C1"/>
      <w:u w:val="single"/>
    </w:rPr>
  </w:style>
  <w:style w:type="paragraph" w:styleId="Revision">
    <w:name w:val="Revision"/>
    <w:hidden/>
    <w:uiPriority w:val="99"/>
    <w:semiHidden/>
    <w:rsid w:val="00C16679"/>
    <w:rPr>
      <w:rFonts w:eastAsia="Times New Roman"/>
      <w:sz w:val="24"/>
      <w:szCs w:val="24"/>
      <w:lang w:eastAsia="en-US"/>
    </w:rPr>
  </w:style>
  <w:style w:type="character" w:styleId="Heading4Char" w:customStyle="1">
    <w:name w:val="Heading 4 Char"/>
    <w:basedOn w:val="DefaultParagraphFont"/>
    <w:link w:val="Heading4"/>
    <w:uiPriority w:val="9"/>
    <w:semiHidden/>
    <w:rsid w:val="00C67481"/>
    <w:rPr>
      <w:rFonts w:eastAsiaTheme="majorEastAsia" w:cstheme="majorBidi"/>
      <w:iCs/>
      <w:color w:val="000000" w:themeColor="text1"/>
      <w:sz w:val="24"/>
      <w:szCs w:val="24"/>
      <w:u w:val="single"/>
      <w:lang w:eastAsia="en-US"/>
    </w:rPr>
  </w:style>
  <w:style w:type="paragraph" w:styleId="FootnoteText">
    <w:name w:val="footnote text"/>
    <w:basedOn w:val="Normal"/>
    <w:link w:val="FootnoteTextChar"/>
    <w:uiPriority w:val="99"/>
    <w:semiHidden/>
    <w:unhideWhenUsed/>
    <w:rsid w:val="00126D8C"/>
    <w:pPr>
      <w:spacing w:after="0"/>
    </w:pPr>
    <w:rPr>
      <w:rFonts w:asciiTheme="minorHAnsi" w:hAnsiTheme="minorHAnsi" w:eastAsiaTheme="minorHAnsi" w:cstheme="minorBidi"/>
      <w:kern w:val="2"/>
      <w:sz w:val="20"/>
      <w:szCs w:val="20"/>
      <w14:ligatures w14:val="standardContextual"/>
    </w:rPr>
  </w:style>
  <w:style w:type="character" w:styleId="FootnoteTextChar" w:customStyle="1">
    <w:name w:val="Footnote Text Char"/>
    <w:basedOn w:val="DefaultParagraphFont"/>
    <w:link w:val="FootnoteText"/>
    <w:uiPriority w:val="99"/>
    <w:semiHidden/>
    <w:rsid w:val="00126D8C"/>
    <w:rPr>
      <w:rFonts w:asciiTheme="minorHAnsi" w:hAnsiTheme="minorHAnsi"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26D8C"/>
    <w:rPr>
      <w:vertAlign w:val="superscript"/>
    </w:rPr>
  </w:style>
  <w:style w:type="table" w:styleId="TableGrid">
    <w:name w:val="Table Grid"/>
    <w:basedOn w:val="TableNormal"/>
    <w:uiPriority w:val="59"/>
    <w:rsid w:val="00126D8C"/>
    <w:rPr>
      <w:rFonts w:asciiTheme="minorHAnsi" w:hAnsiTheme="minorHAnsi" w:eastAsiaTheme="minorHAnsi" w:cstheme="minorBidi"/>
      <w:kern w:val="2"/>
      <w:sz w:val="24"/>
      <w:szCs w:val="24"/>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2" w:customStyle="1">
    <w:name w:val="Style2"/>
    <w:uiPriority w:val="99"/>
    <w:rsid w:val="00126D8C"/>
    <w:pPr>
      <w:numPr>
        <w:numId w:val="9"/>
      </w:numPr>
    </w:pPr>
  </w:style>
  <w:style w:type="character" w:styleId="UnresolvedMention">
    <w:name w:val="Unresolved Mention"/>
    <w:basedOn w:val="DefaultParagraphFont"/>
    <w:uiPriority w:val="99"/>
    <w:semiHidden/>
    <w:unhideWhenUsed/>
    <w:rsid w:val="002D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0d4c65-b355-43f5-87b4-747b815d62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35EAA78F36E442A3DC9AD8730AB5F9" ma:contentTypeVersion="15" ma:contentTypeDescription="Create a new document." ma:contentTypeScope="" ma:versionID="56035f12fa7a035030ade87d93bc0c06">
  <xsd:schema xmlns:xsd="http://www.w3.org/2001/XMLSchema" xmlns:xs="http://www.w3.org/2001/XMLSchema" xmlns:p="http://schemas.microsoft.com/office/2006/metadata/properties" xmlns:ns3="ca0d4c65-b355-43f5-87b4-747b815d620c" xmlns:ns4="a3c734fc-1436-4edf-bb5f-42c829bca70b" targetNamespace="http://schemas.microsoft.com/office/2006/metadata/properties" ma:root="true" ma:fieldsID="d4a919584fc459f682c9a6900435a002" ns3:_="" ns4:_="">
    <xsd:import namespace="ca0d4c65-b355-43f5-87b4-747b815d620c"/>
    <xsd:import namespace="a3c734fc-1436-4edf-bb5f-42c829bca7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d4c65-b355-43f5-87b4-747b815d6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734fc-1436-4edf-bb5f-42c829bca7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522B-32A6-4BF3-87E8-3544F85A4795}">
  <ds:schemaRefs>
    <ds:schemaRef ds:uri="http://schemas.microsoft.com/sharepoint/v3/contenttype/forms"/>
  </ds:schemaRefs>
</ds:datastoreItem>
</file>

<file path=customXml/itemProps2.xml><?xml version="1.0" encoding="utf-8"?>
<ds:datastoreItem xmlns:ds="http://schemas.openxmlformats.org/officeDocument/2006/customXml" ds:itemID="{FDAFE605-91E3-4B00-B7F3-5E6126E21DFE}">
  <ds:schemaRefs>
    <ds:schemaRef ds:uri="http://schemas.microsoft.com/office/2006/metadata/properties"/>
    <ds:schemaRef ds:uri="http://schemas.microsoft.com/office/infopath/2007/PartnerControls"/>
    <ds:schemaRef ds:uri="ca0d4c65-b355-43f5-87b4-747b815d620c"/>
  </ds:schemaRefs>
</ds:datastoreItem>
</file>

<file path=customXml/itemProps3.xml><?xml version="1.0" encoding="utf-8"?>
<ds:datastoreItem xmlns:ds="http://schemas.openxmlformats.org/officeDocument/2006/customXml" ds:itemID="{9B0C876C-468D-4F62-BABA-A6D8FE67B5F5}">
  <ds:schemaRefs>
    <ds:schemaRef ds:uri="http://schemas.openxmlformats.org/officeDocument/2006/bibliography"/>
  </ds:schemaRefs>
</ds:datastoreItem>
</file>

<file path=customXml/itemProps4.xml><?xml version="1.0" encoding="utf-8"?>
<ds:datastoreItem xmlns:ds="http://schemas.openxmlformats.org/officeDocument/2006/customXml" ds:itemID="{51C82029-9930-40EC-BB47-49907031E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d4c65-b355-43f5-87b4-747b815d620c"/>
    <ds:schemaRef ds:uri="a3c734fc-1436-4edf-bb5f-42c829bca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Dcoument-Template-with-Guidance-Notes</dc:title>
  <dc:subject>Document Template</dc:subject>
  <dc:creator>Angela Potter</dc:creator>
  <keywords>Document;Template</keywords>
  <lastModifiedBy>Howard, Max (Student)</lastModifiedBy>
  <revision>4</revision>
  <lastPrinted>2023-05-30T09:05:00.0000000Z</lastPrinted>
  <dcterms:created xsi:type="dcterms:W3CDTF">2025-10-23T12:22:00.0000000Z</dcterms:created>
  <dcterms:modified xsi:type="dcterms:W3CDTF">2025-10-23T15:30:56.5549296Z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0x0101007235EAA78F36E442A3DC9AD8730AB5F9</vt:lpwstr>
  </property>
</Properties>
</file>